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74" w:rsidRPr="00445AD2" w:rsidRDefault="00354974" w:rsidP="00354974">
      <w:pPr>
        <w:tabs>
          <w:tab w:val="left" w:pos="2835"/>
        </w:tabs>
        <w:jc w:val="center"/>
        <w:rPr>
          <w:rFonts w:asciiTheme="minorHAnsi" w:hAnsiTheme="minorHAnsi"/>
          <w:b/>
          <w:sz w:val="24"/>
          <w:szCs w:val="24"/>
          <w:lang w:val="en-GB"/>
        </w:rPr>
      </w:pPr>
      <w:r w:rsidRPr="00445AD2">
        <w:rPr>
          <w:rFonts w:asciiTheme="minorHAnsi" w:hAnsiTheme="minorHAnsi"/>
          <w:b/>
          <w:sz w:val="24"/>
          <w:szCs w:val="24"/>
          <w:lang w:val="en-GB"/>
        </w:rPr>
        <w:t>Event Management and Event Safety Policy</w:t>
      </w:r>
    </w:p>
    <w:p w:rsidR="00354974" w:rsidRPr="00445AD2" w:rsidRDefault="00354974" w:rsidP="00354974">
      <w:pPr>
        <w:tabs>
          <w:tab w:val="left" w:pos="2835"/>
        </w:tabs>
        <w:jc w:val="center"/>
        <w:rPr>
          <w:rFonts w:asciiTheme="minorHAnsi" w:hAnsiTheme="minorHAnsi"/>
          <w:b/>
          <w:sz w:val="24"/>
          <w:szCs w:val="24"/>
          <w:lang w:val="en-GB"/>
        </w:rPr>
      </w:pPr>
      <w:r>
        <w:rPr>
          <w:rFonts w:asciiTheme="minorHAnsi" w:hAnsiTheme="minorHAnsi"/>
          <w:b/>
          <w:sz w:val="24"/>
          <w:szCs w:val="24"/>
          <w:lang w:val="en-GB"/>
        </w:rPr>
        <w:t>Appendix A – Risk Matrix</w:t>
      </w:r>
    </w:p>
    <w:p w:rsidR="00354974" w:rsidRPr="00445AD2" w:rsidRDefault="00354974" w:rsidP="00354974">
      <w:pPr>
        <w:tabs>
          <w:tab w:val="left" w:pos="2835"/>
        </w:tabs>
        <w:jc w:val="both"/>
        <w:rPr>
          <w:rFonts w:asciiTheme="minorHAnsi" w:hAnsiTheme="minorHAnsi"/>
          <w:b/>
          <w:lang w:val="en-GB"/>
        </w:rPr>
      </w:pPr>
    </w:p>
    <w:p w:rsidR="00354974" w:rsidRPr="00445AD2" w:rsidRDefault="00354974" w:rsidP="00354974">
      <w:pPr>
        <w:numPr>
          <w:ilvl w:val="0"/>
          <w:numId w:val="1"/>
        </w:numPr>
        <w:tabs>
          <w:tab w:val="left" w:pos="2835"/>
        </w:tabs>
        <w:contextualSpacing/>
        <w:jc w:val="both"/>
        <w:rPr>
          <w:rFonts w:asciiTheme="minorHAnsi" w:hAnsiTheme="minorHAnsi"/>
          <w:b/>
          <w:lang w:val="en-GB"/>
        </w:rPr>
      </w:pPr>
      <w:r w:rsidRPr="00445AD2">
        <w:rPr>
          <w:rFonts w:asciiTheme="minorHAnsi" w:hAnsiTheme="minorHAnsi"/>
          <w:b/>
          <w:lang w:val="en-GB"/>
        </w:rPr>
        <w:t>Managing Safely – The Risk Matrix.</w:t>
      </w:r>
    </w:p>
    <w:p w:rsidR="00354974" w:rsidRPr="00445AD2" w:rsidRDefault="00354974" w:rsidP="00354974">
      <w:pPr>
        <w:rPr>
          <w:rFonts w:asciiTheme="minorHAnsi" w:eastAsiaTheme="minorHAnsi" w:hAnsiTheme="minorHAnsi" w:cstheme="minorBidi"/>
          <w:lang w:val="en-US"/>
        </w:rPr>
      </w:pPr>
      <w:r w:rsidRPr="00445AD2">
        <w:rPr>
          <w:rFonts w:asciiTheme="minorHAnsi" w:eastAsiaTheme="minorHAnsi" w:hAnsiTheme="minorHAnsi" w:cstheme="minorBidi"/>
          <w:lang w:val="en-US"/>
        </w:rPr>
        <w:t xml:space="preserve">The key person in the management of Events is the Event </w:t>
      </w:r>
      <w:proofErr w:type="spellStart"/>
      <w:r w:rsidRPr="00445AD2">
        <w:rPr>
          <w:rFonts w:asciiTheme="minorHAnsi" w:eastAsiaTheme="minorHAnsi" w:hAnsiTheme="minorHAnsi" w:cstheme="minorBidi"/>
          <w:lang w:val="en-US"/>
        </w:rPr>
        <w:t>Organiser</w:t>
      </w:r>
      <w:proofErr w:type="spellEnd"/>
      <w:r w:rsidRPr="00445AD2">
        <w:rPr>
          <w:rFonts w:asciiTheme="minorHAnsi" w:eastAsiaTheme="minorHAnsi" w:hAnsiTheme="minorHAnsi" w:cstheme="minorBidi"/>
          <w:lang w:val="en-US"/>
        </w:rPr>
        <w:t xml:space="preserve"> or ‘Controller’.  The University </w:t>
      </w:r>
      <w:proofErr w:type="spellStart"/>
      <w:r w:rsidRPr="00445AD2">
        <w:rPr>
          <w:rFonts w:asciiTheme="minorHAnsi" w:eastAsiaTheme="minorHAnsi" w:hAnsiTheme="minorHAnsi" w:cstheme="minorBidi"/>
          <w:lang w:val="en-US"/>
        </w:rPr>
        <w:t>endeavours</w:t>
      </w:r>
      <w:proofErr w:type="spellEnd"/>
      <w:r w:rsidRPr="00445AD2">
        <w:rPr>
          <w:rFonts w:asciiTheme="minorHAnsi" w:eastAsiaTheme="minorHAnsi" w:hAnsiTheme="minorHAnsi" w:cstheme="minorBidi"/>
          <w:lang w:val="en-US"/>
        </w:rPr>
        <w:t xml:space="preserve"> to be supportive of events t</w:t>
      </w:r>
      <w:r w:rsidR="00EE5BC2">
        <w:rPr>
          <w:rFonts w:asciiTheme="minorHAnsi" w:eastAsiaTheme="minorHAnsi" w:hAnsiTheme="minorHAnsi" w:cstheme="minorBidi"/>
          <w:lang w:val="en-US"/>
        </w:rPr>
        <w:t>hat contribute positively to University of</w:t>
      </w:r>
      <w:bookmarkStart w:id="0" w:name="_GoBack"/>
      <w:bookmarkEnd w:id="0"/>
      <w:r w:rsidRPr="00445AD2">
        <w:rPr>
          <w:rFonts w:asciiTheme="minorHAnsi" w:eastAsiaTheme="minorHAnsi" w:hAnsiTheme="minorHAnsi" w:cstheme="minorBidi"/>
          <w:lang w:val="en-US"/>
        </w:rPr>
        <w:t xml:space="preserve"> Galway.  This requires that they are managed safely to comply with s.12 of the Safety, Health and Welfare at Work Act 2005.  Therefore events that are high risk or where the resources are not available to adequately manage them should be prohibited at the outset rather than expend limited time and resources assessing options that are not feasible. A risk matrix has been provided for this purpose.  </w:t>
      </w:r>
    </w:p>
    <w:p w:rsidR="00354974" w:rsidRPr="00445AD2" w:rsidRDefault="00354974" w:rsidP="00354974">
      <w:pPr>
        <w:rPr>
          <w:rFonts w:asciiTheme="minorHAnsi" w:eastAsiaTheme="minorHAnsi" w:hAnsiTheme="minorHAnsi" w:cstheme="minorBidi"/>
          <w:lang w:val="en-US"/>
        </w:rPr>
      </w:pPr>
    </w:p>
    <w:p w:rsidR="00354974" w:rsidRPr="00445AD2" w:rsidRDefault="00354974" w:rsidP="00354974">
      <w:pPr>
        <w:spacing w:after="120"/>
        <w:rPr>
          <w:b/>
        </w:rPr>
      </w:pPr>
      <w:bookmarkStart w:id="1" w:name="_Toc357696667"/>
      <w:bookmarkStart w:id="2" w:name="_Toc358198668"/>
      <w:bookmarkStart w:id="3" w:name="_Toc358199000"/>
      <w:r w:rsidRPr="00445AD2">
        <w:rPr>
          <w:b/>
        </w:rPr>
        <w:t>1.1 Purpose</w:t>
      </w:r>
      <w:bookmarkEnd w:id="1"/>
      <w:bookmarkEnd w:id="2"/>
      <w:bookmarkEnd w:id="3"/>
      <w:r w:rsidRPr="00445AD2">
        <w:rPr>
          <w:b/>
        </w:rPr>
        <w:br/>
      </w:r>
      <w:proofErr w:type="gramStart"/>
      <w:r w:rsidRPr="00445AD2">
        <w:t>This</w:t>
      </w:r>
      <w:proofErr w:type="gramEnd"/>
      <w:r w:rsidRPr="00445AD2">
        <w:t xml:space="preserve"> risk matrix has been produced to allow organisers of events to evaluate the overall risk and identify into which of three risk categories the event will be allocated. It is a preliminary, simple assessment carried out before the detailed assessment and gives an overview of the level of risk.</w:t>
      </w:r>
    </w:p>
    <w:p w:rsidR="00354974" w:rsidRPr="00445AD2" w:rsidRDefault="00354974" w:rsidP="00354974">
      <w:pPr>
        <w:autoSpaceDE w:val="0"/>
        <w:autoSpaceDN w:val="0"/>
        <w:adjustRightInd w:val="0"/>
        <w:rPr>
          <w:rFonts w:asciiTheme="minorHAnsi" w:eastAsiaTheme="minorHAnsi" w:hAnsiTheme="minorHAnsi" w:cs="Arial"/>
          <w:lang w:val="en-US"/>
        </w:rPr>
      </w:pPr>
    </w:p>
    <w:p w:rsidR="00354974" w:rsidRPr="00445AD2" w:rsidRDefault="00354974" w:rsidP="00354974">
      <w:pPr>
        <w:spacing w:after="120"/>
        <w:rPr>
          <w:rFonts w:cs="Arial"/>
        </w:rPr>
      </w:pPr>
      <w:bookmarkStart w:id="4" w:name="_Toc357696668"/>
      <w:bookmarkStart w:id="5" w:name="_Toc358198669"/>
      <w:bookmarkStart w:id="6" w:name="_Toc358199001"/>
      <w:r w:rsidRPr="00445AD2">
        <w:rPr>
          <w:b/>
        </w:rPr>
        <w:t>1.2 Criteria</w:t>
      </w:r>
      <w:bookmarkEnd w:id="4"/>
      <w:bookmarkEnd w:id="5"/>
      <w:bookmarkEnd w:id="6"/>
      <w:r w:rsidRPr="00445AD2">
        <w:rPr>
          <w:b/>
        </w:rPr>
        <w:br/>
      </w:r>
      <w:proofErr w:type="gramStart"/>
      <w:r w:rsidRPr="00445AD2">
        <w:t>The</w:t>
      </w:r>
      <w:proofErr w:type="gramEnd"/>
      <w:r w:rsidRPr="00445AD2">
        <w:t xml:space="preserve"> criteria suggested have been selected as indicators of the degree of risk to health and safety of those who may be affected by the event, including participants, spectators and members of the public. </w:t>
      </w:r>
      <w:r w:rsidRPr="00445AD2">
        <w:rPr>
          <w:rFonts w:cs="Arial"/>
        </w:rPr>
        <w:t>The criteria involve consideration of the risk of harm, the extent of control and the availability of emergency response. The criteria are allocated and outlined in table 1.</w:t>
      </w:r>
    </w:p>
    <w:p w:rsidR="00354974" w:rsidRPr="00445AD2" w:rsidRDefault="00354974" w:rsidP="00354974">
      <w:pPr>
        <w:autoSpaceDE w:val="0"/>
        <w:autoSpaceDN w:val="0"/>
        <w:adjustRightInd w:val="0"/>
        <w:rPr>
          <w:rFonts w:asciiTheme="minorHAnsi" w:eastAsiaTheme="minorHAnsi" w:hAnsiTheme="minorHAnsi" w:cs="Arial"/>
          <w:lang w:val="en-US"/>
        </w:rPr>
      </w:pPr>
    </w:p>
    <w:p w:rsidR="00354974" w:rsidRPr="00445AD2" w:rsidRDefault="00354974" w:rsidP="00354974">
      <w:pPr>
        <w:spacing w:after="120"/>
        <w:rPr>
          <w:b/>
        </w:rPr>
      </w:pPr>
      <w:bookmarkStart w:id="7" w:name="_Toc357696669"/>
      <w:bookmarkStart w:id="8" w:name="_Toc358198670"/>
      <w:bookmarkStart w:id="9" w:name="_Toc358199002"/>
      <w:r w:rsidRPr="00445AD2">
        <w:rPr>
          <w:b/>
        </w:rPr>
        <w:t>1.3 Evaluation</w:t>
      </w:r>
      <w:bookmarkEnd w:id="7"/>
      <w:bookmarkEnd w:id="8"/>
      <w:bookmarkEnd w:id="9"/>
      <w:r w:rsidRPr="00445AD2">
        <w:rPr>
          <w:b/>
        </w:rPr>
        <w:br/>
      </w:r>
      <w:proofErr w:type="gramStart"/>
      <w:r w:rsidRPr="00445AD2">
        <w:t>Each</w:t>
      </w:r>
      <w:proofErr w:type="gramEnd"/>
      <w:r w:rsidRPr="00445AD2">
        <w:t xml:space="preserve"> of the criteria proposed has been allocated a score. The total score of all relevant factors</w:t>
      </w:r>
      <w:r w:rsidRPr="00445AD2">
        <w:br/>
        <w:t>should be added and compared to the threshold set for high, medium, and low risk events. For multisite or multi-activity events, organisers should use the likely worst-case scenario for the event as a whole when considering the scores. Very large events which may involve many activities over many sites or over many days are best considered as individual events, with the organisers ensuring that appropriate control and co-ordination is achieved across the entire event.</w:t>
      </w:r>
      <w:r w:rsidRPr="00445AD2">
        <w:br/>
      </w:r>
      <w:bookmarkStart w:id="10" w:name="_Toc357696670"/>
      <w:bookmarkStart w:id="11" w:name="_Toc358198671"/>
      <w:bookmarkStart w:id="12" w:name="_Toc358199003"/>
      <w:r>
        <w:rPr>
          <w:b/>
        </w:rPr>
        <w:br/>
      </w:r>
      <w:r w:rsidRPr="00445AD2">
        <w:rPr>
          <w:b/>
        </w:rPr>
        <w:t>1.4 Scoring</w:t>
      </w:r>
      <w:bookmarkEnd w:id="10"/>
      <w:bookmarkEnd w:id="11"/>
      <w:bookmarkEnd w:id="12"/>
      <w:r w:rsidRPr="00445AD2">
        <w:rPr>
          <w:b/>
        </w:rPr>
        <w:br/>
      </w:r>
      <w:proofErr w:type="gramStart"/>
      <w:r w:rsidRPr="00445AD2">
        <w:t>The</w:t>
      </w:r>
      <w:proofErr w:type="gramEnd"/>
      <w:r w:rsidRPr="00445AD2">
        <w:t xml:space="preserve"> total score obtained from table 1 should be compared to the following threshold to determine t</w:t>
      </w:r>
      <w:r>
        <w:t xml:space="preserve">he relevant risk category and </w:t>
      </w:r>
      <w:r w:rsidRPr="00445AD2">
        <w:t xml:space="preserve">will give an idea of the type of action </w:t>
      </w:r>
      <w:r>
        <w:t xml:space="preserve">required </w:t>
      </w:r>
      <w:r w:rsidRPr="00445AD2">
        <w:t>to run the event safely.</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983"/>
      </w:tblGrid>
      <w:tr w:rsidR="00354974" w:rsidRPr="00445AD2" w:rsidTr="002D7D70">
        <w:tc>
          <w:tcPr>
            <w:tcW w:w="1845" w:type="dxa"/>
          </w:tcPr>
          <w:p w:rsidR="00354974" w:rsidRPr="00445AD2" w:rsidRDefault="00760F77" w:rsidP="002D7D70">
            <w:pPr>
              <w:autoSpaceDE w:val="0"/>
              <w:autoSpaceDN w:val="0"/>
              <w:adjustRightInd w:val="0"/>
              <w:jc w:val="center"/>
              <w:rPr>
                <w:rFonts w:asciiTheme="minorHAnsi" w:eastAsiaTheme="minorHAnsi" w:hAnsiTheme="minorHAnsi" w:cs="Arial"/>
                <w:b/>
                <w:lang w:val="en-US"/>
              </w:rPr>
            </w:pPr>
            <w:r>
              <w:rPr>
                <w:rFonts w:asciiTheme="minorHAnsi" w:eastAsiaTheme="minorHAnsi" w:hAnsiTheme="minorHAnsi" w:cs="Arial"/>
                <w:b/>
                <w:lang w:val="en-US"/>
              </w:rPr>
              <w:t>0 - 14</w:t>
            </w:r>
          </w:p>
        </w:tc>
        <w:tc>
          <w:tcPr>
            <w:tcW w:w="1983" w:type="dxa"/>
          </w:tcPr>
          <w:p w:rsidR="00354974" w:rsidRPr="00445AD2" w:rsidRDefault="00354974" w:rsidP="002D7D70">
            <w:pPr>
              <w:autoSpaceDE w:val="0"/>
              <w:autoSpaceDN w:val="0"/>
              <w:adjustRightInd w:val="0"/>
              <w:jc w:val="center"/>
              <w:rPr>
                <w:rFonts w:asciiTheme="minorHAnsi" w:eastAsiaTheme="minorHAnsi" w:hAnsiTheme="minorHAnsi" w:cs="Arial"/>
                <w:b/>
                <w:lang w:val="en-US"/>
              </w:rPr>
            </w:pPr>
            <w:r w:rsidRPr="00445AD2">
              <w:rPr>
                <w:rFonts w:asciiTheme="minorHAnsi" w:eastAsiaTheme="minorHAnsi" w:hAnsiTheme="minorHAnsi" w:cs="Arial"/>
                <w:b/>
                <w:lang w:val="en-US"/>
              </w:rPr>
              <w:t>LOW RISK</w:t>
            </w:r>
          </w:p>
        </w:tc>
      </w:tr>
      <w:tr w:rsidR="00354974" w:rsidRPr="00445AD2" w:rsidTr="002D7D70">
        <w:tc>
          <w:tcPr>
            <w:tcW w:w="1845" w:type="dxa"/>
          </w:tcPr>
          <w:p w:rsidR="00354974" w:rsidRPr="00445AD2" w:rsidRDefault="00760F77" w:rsidP="002D7D70">
            <w:pPr>
              <w:autoSpaceDE w:val="0"/>
              <w:autoSpaceDN w:val="0"/>
              <w:adjustRightInd w:val="0"/>
              <w:jc w:val="center"/>
              <w:rPr>
                <w:rFonts w:asciiTheme="minorHAnsi" w:eastAsiaTheme="minorHAnsi" w:hAnsiTheme="minorHAnsi" w:cs="Arial"/>
                <w:b/>
                <w:lang w:val="en-US"/>
              </w:rPr>
            </w:pPr>
            <w:r>
              <w:rPr>
                <w:rFonts w:asciiTheme="minorHAnsi" w:eastAsiaTheme="minorHAnsi" w:hAnsiTheme="minorHAnsi" w:cs="Arial"/>
                <w:b/>
                <w:lang w:val="en-US"/>
              </w:rPr>
              <w:t>15</w:t>
            </w:r>
            <w:r w:rsidR="00354974" w:rsidRPr="00445AD2">
              <w:rPr>
                <w:rFonts w:asciiTheme="minorHAnsi" w:eastAsiaTheme="minorHAnsi" w:hAnsiTheme="minorHAnsi" w:cs="Arial"/>
                <w:b/>
                <w:lang w:val="en-US"/>
              </w:rPr>
              <w:t xml:space="preserve"> – 30</w:t>
            </w:r>
          </w:p>
        </w:tc>
        <w:tc>
          <w:tcPr>
            <w:tcW w:w="1983" w:type="dxa"/>
          </w:tcPr>
          <w:p w:rsidR="00354974" w:rsidRPr="00445AD2" w:rsidRDefault="00354974" w:rsidP="002D7D70">
            <w:pPr>
              <w:autoSpaceDE w:val="0"/>
              <w:autoSpaceDN w:val="0"/>
              <w:adjustRightInd w:val="0"/>
              <w:jc w:val="center"/>
              <w:rPr>
                <w:rFonts w:asciiTheme="minorHAnsi" w:eastAsiaTheme="minorHAnsi" w:hAnsiTheme="minorHAnsi" w:cs="Arial"/>
                <w:b/>
                <w:lang w:val="en-US"/>
              </w:rPr>
            </w:pPr>
            <w:r w:rsidRPr="00445AD2">
              <w:rPr>
                <w:rFonts w:asciiTheme="minorHAnsi" w:eastAsiaTheme="minorHAnsi" w:hAnsiTheme="minorHAnsi" w:cs="Arial"/>
                <w:b/>
                <w:lang w:val="en-US"/>
              </w:rPr>
              <w:t>MEDIUM RISK</w:t>
            </w:r>
          </w:p>
        </w:tc>
      </w:tr>
      <w:tr w:rsidR="00354974" w:rsidRPr="00445AD2" w:rsidTr="002D7D70">
        <w:tc>
          <w:tcPr>
            <w:tcW w:w="1845" w:type="dxa"/>
          </w:tcPr>
          <w:p w:rsidR="00354974" w:rsidRPr="00445AD2" w:rsidRDefault="00354974" w:rsidP="002D7D70">
            <w:pPr>
              <w:autoSpaceDE w:val="0"/>
              <w:autoSpaceDN w:val="0"/>
              <w:adjustRightInd w:val="0"/>
              <w:jc w:val="center"/>
              <w:rPr>
                <w:rFonts w:asciiTheme="minorHAnsi" w:eastAsiaTheme="minorHAnsi" w:hAnsiTheme="minorHAnsi" w:cs="Arial"/>
                <w:b/>
                <w:lang w:val="en-US"/>
              </w:rPr>
            </w:pPr>
            <w:r w:rsidRPr="00445AD2">
              <w:rPr>
                <w:rFonts w:asciiTheme="minorHAnsi" w:eastAsiaTheme="minorHAnsi" w:hAnsiTheme="minorHAnsi" w:cs="Arial"/>
                <w:b/>
                <w:lang w:val="en-US"/>
              </w:rPr>
              <w:t>31 +</w:t>
            </w:r>
          </w:p>
        </w:tc>
        <w:tc>
          <w:tcPr>
            <w:tcW w:w="1983" w:type="dxa"/>
          </w:tcPr>
          <w:p w:rsidR="00354974" w:rsidRPr="00445AD2" w:rsidRDefault="00354974" w:rsidP="002D7D70">
            <w:pPr>
              <w:autoSpaceDE w:val="0"/>
              <w:autoSpaceDN w:val="0"/>
              <w:adjustRightInd w:val="0"/>
              <w:jc w:val="center"/>
              <w:rPr>
                <w:rFonts w:asciiTheme="minorHAnsi" w:eastAsiaTheme="minorHAnsi" w:hAnsiTheme="minorHAnsi" w:cs="Arial"/>
                <w:b/>
                <w:lang w:val="en-US"/>
              </w:rPr>
            </w:pPr>
            <w:r w:rsidRPr="00445AD2">
              <w:rPr>
                <w:rFonts w:asciiTheme="minorHAnsi" w:eastAsiaTheme="minorHAnsi" w:hAnsiTheme="minorHAnsi" w:cs="Arial"/>
                <w:b/>
                <w:lang w:val="en-US"/>
              </w:rPr>
              <w:t>HIGH RISK</w:t>
            </w:r>
          </w:p>
        </w:tc>
      </w:tr>
    </w:tbl>
    <w:p w:rsidR="00354974" w:rsidRPr="00445AD2" w:rsidRDefault="00354974" w:rsidP="00354974">
      <w:pPr>
        <w:jc w:val="both"/>
        <w:rPr>
          <w:rFonts w:asciiTheme="minorHAnsi" w:eastAsia="Times New Roman" w:hAnsiTheme="minorHAnsi" w:cs="Arial"/>
          <w:lang w:val="en-GB"/>
        </w:rPr>
      </w:pPr>
      <w:r w:rsidRPr="00445AD2">
        <w:rPr>
          <w:rFonts w:asciiTheme="minorHAnsi" w:eastAsiaTheme="minorHAnsi" w:hAnsiTheme="minorHAnsi" w:cs="Arial"/>
          <w:lang w:val="en-US" w:eastAsia="en-IE"/>
        </w:rPr>
        <w:t xml:space="preserve">For events posing a </w:t>
      </w:r>
      <w:r w:rsidRPr="00445AD2">
        <w:rPr>
          <w:rFonts w:asciiTheme="minorHAnsi" w:eastAsiaTheme="minorHAnsi" w:hAnsiTheme="minorHAnsi" w:cs="Arial"/>
          <w:b/>
          <w:lang w:val="en-US" w:eastAsia="en-IE"/>
        </w:rPr>
        <w:t>HIGH RISK,</w:t>
      </w:r>
      <w:r w:rsidRPr="00445AD2">
        <w:rPr>
          <w:rFonts w:asciiTheme="minorHAnsi" w:eastAsiaTheme="minorHAnsi" w:hAnsiTheme="minorHAnsi" w:cs="Arial"/>
          <w:lang w:val="en-US" w:eastAsia="en-IE"/>
        </w:rPr>
        <w:t xml:space="preserve"> the guidance included in the Health and Safety Executive’s publication “The Event Safety Guide” (reference HSG 195) and the </w:t>
      </w:r>
      <w:r w:rsidRPr="00445AD2">
        <w:rPr>
          <w:rFonts w:asciiTheme="minorHAnsi" w:eastAsiaTheme="minorHAnsi" w:hAnsiTheme="minorHAnsi" w:cs="Arial"/>
          <w:lang w:val="en-US"/>
        </w:rPr>
        <w:t xml:space="preserve">Dublin City Council ‘Guidelines for event organizers’ and where relevant the </w:t>
      </w:r>
      <w:r w:rsidRPr="00445AD2">
        <w:rPr>
          <w:rFonts w:asciiTheme="minorHAnsi" w:eastAsia="Times New Roman" w:hAnsiTheme="minorHAnsi" w:cs="Arial"/>
          <w:lang w:val="en-GB"/>
        </w:rPr>
        <w:t xml:space="preserve">Code of Practice for Safety at Indoor Concerts (Department of the Environment and Local Government 1998) </w:t>
      </w:r>
      <w:r w:rsidRPr="00445AD2">
        <w:rPr>
          <w:rFonts w:asciiTheme="minorHAnsi" w:eastAsiaTheme="minorHAnsi" w:hAnsiTheme="minorHAnsi" w:cs="Arial"/>
          <w:lang w:val="en-US"/>
        </w:rPr>
        <w:t>should be adhered to.</w:t>
      </w:r>
    </w:p>
    <w:p w:rsidR="00354974" w:rsidRPr="00445AD2" w:rsidRDefault="00354974" w:rsidP="00354974">
      <w:pPr>
        <w:autoSpaceDE w:val="0"/>
        <w:autoSpaceDN w:val="0"/>
        <w:adjustRightInd w:val="0"/>
        <w:rPr>
          <w:rFonts w:asciiTheme="minorHAnsi" w:eastAsiaTheme="minorHAnsi" w:hAnsiTheme="minorHAnsi" w:cs="Arial"/>
          <w:lang w:val="en-US" w:eastAsia="en-IE"/>
        </w:rPr>
      </w:pPr>
    </w:p>
    <w:p w:rsidR="00354974" w:rsidRPr="00445AD2" w:rsidRDefault="00354974" w:rsidP="00354974">
      <w:pPr>
        <w:autoSpaceDE w:val="0"/>
        <w:autoSpaceDN w:val="0"/>
        <w:adjustRightInd w:val="0"/>
        <w:rPr>
          <w:rFonts w:asciiTheme="minorHAnsi" w:eastAsiaTheme="minorHAnsi" w:hAnsiTheme="minorHAnsi" w:cs="Arial"/>
          <w:lang w:val="en-US" w:eastAsia="en-IE"/>
        </w:rPr>
      </w:pPr>
      <w:r w:rsidRPr="00445AD2">
        <w:rPr>
          <w:rFonts w:asciiTheme="minorHAnsi" w:eastAsiaTheme="minorHAnsi" w:hAnsiTheme="minorHAnsi" w:cs="Arial"/>
          <w:lang w:val="en-US" w:eastAsia="en-IE"/>
        </w:rPr>
        <w:t xml:space="preserve">For events posing a </w:t>
      </w:r>
      <w:r w:rsidRPr="00445AD2">
        <w:rPr>
          <w:rFonts w:asciiTheme="minorHAnsi" w:eastAsiaTheme="minorHAnsi" w:hAnsiTheme="minorHAnsi" w:cs="Arial"/>
          <w:b/>
          <w:lang w:val="en-US" w:eastAsia="en-IE"/>
        </w:rPr>
        <w:t>MEDIUM RISK,</w:t>
      </w:r>
      <w:r w:rsidRPr="00445AD2">
        <w:rPr>
          <w:rFonts w:asciiTheme="minorHAnsi" w:eastAsiaTheme="minorHAnsi" w:hAnsiTheme="minorHAnsi" w:cs="Arial"/>
          <w:lang w:val="en-US" w:eastAsia="en-IE"/>
        </w:rPr>
        <w:t xml:space="preserve"> the </w:t>
      </w:r>
      <w:r w:rsidRPr="00445AD2">
        <w:rPr>
          <w:rFonts w:asciiTheme="minorHAnsi" w:eastAsiaTheme="minorHAnsi" w:hAnsiTheme="minorHAnsi" w:cs="Arial"/>
          <w:lang w:val="en-US"/>
        </w:rPr>
        <w:t>Dublin City Council ‘Guidelines for event organizers’ should be adhered to.</w:t>
      </w:r>
      <w:r w:rsidRPr="00445AD2">
        <w:rPr>
          <w:rFonts w:asciiTheme="minorHAnsi" w:eastAsiaTheme="minorHAnsi" w:hAnsiTheme="minorHAnsi" w:cs="Arial"/>
          <w:lang w:val="en-US" w:eastAsia="en-IE"/>
        </w:rPr>
        <w:t xml:space="preserve"> It is strongly recommended that the Health and Safety Executive’s publication “The Event Safety Guide” (reference HSG 195)</w:t>
      </w:r>
      <w:r w:rsidRPr="00445AD2">
        <w:rPr>
          <w:rFonts w:asciiTheme="minorHAnsi" w:eastAsiaTheme="minorHAnsi" w:hAnsiTheme="minorHAnsi" w:cs="Arial"/>
          <w:lang w:val="en-US"/>
        </w:rPr>
        <w:t xml:space="preserve"> and where relevant the </w:t>
      </w:r>
      <w:r w:rsidRPr="00445AD2">
        <w:rPr>
          <w:rFonts w:asciiTheme="minorHAnsi" w:eastAsia="Times New Roman" w:hAnsiTheme="minorHAnsi" w:cs="Arial"/>
          <w:lang w:val="en-GB"/>
        </w:rPr>
        <w:t xml:space="preserve">Code of Practice for Safety at Indoor Concerts (Department of the Environment and Local Government 1998) </w:t>
      </w:r>
      <w:r w:rsidRPr="00445AD2">
        <w:rPr>
          <w:rFonts w:asciiTheme="minorHAnsi" w:eastAsiaTheme="minorHAnsi" w:hAnsiTheme="minorHAnsi" w:cs="Arial"/>
          <w:lang w:val="en-US" w:eastAsia="en-IE"/>
        </w:rPr>
        <w:t xml:space="preserve"> be considered during the planning process.</w:t>
      </w:r>
      <w:r w:rsidRPr="00445AD2">
        <w:rPr>
          <w:rFonts w:asciiTheme="minorHAnsi" w:eastAsiaTheme="minorHAnsi" w:hAnsiTheme="minorHAnsi" w:cs="Arial"/>
          <w:lang w:val="en-US" w:eastAsia="en-IE"/>
        </w:rPr>
        <w:br/>
      </w:r>
    </w:p>
    <w:p w:rsidR="00354974" w:rsidRDefault="00354974" w:rsidP="00354974">
      <w:pPr>
        <w:autoSpaceDE w:val="0"/>
        <w:autoSpaceDN w:val="0"/>
        <w:adjustRightInd w:val="0"/>
        <w:rPr>
          <w:rFonts w:asciiTheme="minorHAnsi" w:eastAsiaTheme="minorHAnsi" w:hAnsiTheme="minorHAnsi" w:cs="Arial"/>
          <w:i/>
          <w:iCs/>
          <w:lang w:val="en-US" w:eastAsia="en-IE"/>
        </w:rPr>
      </w:pPr>
      <w:r w:rsidRPr="00445AD2">
        <w:rPr>
          <w:rFonts w:asciiTheme="minorHAnsi" w:eastAsiaTheme="minorHAnsi" w:hAnsiTheme="minorHAnsi" w:cs="Arial"/>
          <w:lang w:val="en-US" w:eastAsia="en-IE"/>
        </w:rPr>
        <w:t xml:space="preserve">For events posing a </w:t>
      </w:r>
      <w:r w:rsidRPr="00445AD2">
        <w:rPr>
          <w:rFonts w:asciiTheme="minorHAnsi" w:eastAsiaTheme="minorHAnsi" w:hAnsiTheme="minorHAnsi" w:cs="Arial"/>
          <w:b/>
          <w:lang w:val="en-US" w:eastAsia="en-IE"/>
        </w:rPr>
        <w:t>LOW RISK</w:t>
      </w:r>
      <w:r w:rsidRPr="00445AD2">
        <w:rPr>
          <w:rFonts w:asciiTheme="minorHAnsi" w:eastAsiaTheme="minorHAnsi" w:hAnsiTheme="minorHAnsi" w:cs="Arial"/>
          <w:lang w:val="en-US" w:eastAsia="en-IE"/>
        </w:rPr>
        <w:t xml:space="preserve">, the </w:t>
      </w:r>
      <w:proofErr w:type="spellStart"/>
      <w:r w:rsidRPr="00445AD2">
        <w:rPr>
          <w:rFonts w:asciiTheme="minorHAnsi" w:eastAsiaTheme="minorHAnsi" w:hAnsiTheme="minorHAnsi" w:cs="Arial"/>
          <w:lang w:val="en-US"/>
        </w:rPr>
        <w:t>the</w:t>
      </w:r>
      <w:proofErr w:type="spellEnd"/>
      <w:r w:rsidRPr="00445AD2">
        <w:rPr>
          <w:rFonts w:asciiTheme="minorHAnsi" w:eastAsiaTheme="minorHAnsi" w:hAnsiTheme="minorHAnsi" w:cs="Arial"/>
          <w:lang w:val="en-US"/>
        </w:rPr>
        <w:t xml:space="preserve"> Dublin City Counc</w:t>
      </w:r>
      <w:r w:rsidR="00184048">
        <w:rPr>
          <w:rFonts w:asciiTheme="minorHAnsi" w:eastAsiaTheme="minorHAnsi" w:hAnsiTheme="minorHAnsi" w:cs="Arial"/>
          <w:lang w:val="en-US"/>
        </w:rPr>
        <w:t>il ‘Guidelines for event organiz</w:t>
      </w:r>
      <w:r w:rsidRPr="00445AD2">
        <w:rPr>
          <w:rFonts w:asciiTheme="minorHAnsi" w:eastAsiaTheme="minorHAnsi" w:hAnsiTheme="minorHAnsi" w:cs="Arial"/>
          <w:lang w:val="en-US"/>
        </w:rPr>
        <w:t xml:space="preserve">ers’ </w:t>
      </w:r>
      <w:r w:rsidRPr="00445AD2">
        <w:rPr>
          <w:rFonts w:asciiTheme="minorHAnsi" w:eastAsiaTheme="minorHAnsi" w:hAnsiTheme="minorHAnsi" w:cs="Arial"/>
          <w:lang w:val="en-US" w:eastAsia="en-IE"/>
        </w:rPr>
        <w:t>should be considered. It is strongly recommended that the Health and Safety Executive’s publication “The Event Safety Guide” (reference HSG 195) be considered during the planning process.</w:t>
      </w:r>
      <w:r w:rsidRPr="00445AD2">
        <w:rPr>
          <w:rFonts w:asciiTheme="minorHAnsi" w:eastAsiaTheme="minorHAnsi" w:hAnsiTheme="minorHAnsi" w:cs="Arial"/>
          <w:i/>
          <w:iCs/>
          <w:lang w:val="en-US" w:eastAsia="en-IE"/>
        </w:rPr>
        <w:tab/>
      </w:r>
      <w:bookmarkStart w:id="13" w:name="_Toc357696671"/>
      <w:bookmarkStart w:id="14" w:name="_Toc366226003"/>
      <w:bookmarkStart w:id="15" w:name="_Toc366226085"/>
      <w:bookmarkStart w:id="16" w:name="_Toc366227414"/>
      <w:r>
        <w:rPr>
          <w:rFonts w:asciiTheme="minorHAnsi" w:eastAsiaTheme="minorHAnsi" w:hAnsiTheme="minorHAnsi" w:cs="Arial"/>
          <w:i/>
          <w:iCs/>
          <w:lang w:val="en-US" w:eastAsia="en-IE"/>
        </w:rPr>
        <w:br/>
        <w:t>In all cases, regardless of risk score, a risk assessment must be completed by the event controller.</w:t>
      </w:r>
    </w:p>
    <w:p w:rsidR="00354974" w:rsidRPr="00445AD2" w:rsidRDefault="00354974" w:rsidP="00354974">
      <w:pPr>
        <w:rPr>
          <w:rFonts w:eastAsia="Times New Roman"/>
          <w:b/>
          <w:bCs/>
          <w:lang w:val="x-none"/>
        </w:rPr>
      </w:pPr>
      <w:r>
        <w:rPr>
          <w:rFonts w:asciiTheme="minorHAnsi" w:eastAsiaTheme="minorHAnsi" w:hAnsiTheme="minorHAnsi" w:cs="Arial"/>
          <w:i/>
          <w:iCs/>
          <w:lang w:val="en-US" w:eastAsia="en-IE"/>
        </w:rPr>
        <w:br w:type="page"/>
      </w:r>
      <w:r w:rsidRPr="00445AD2">
        <w:rPr>
          <w:rFonts w:eastAsia="Times New Roman"/>
          <w:b/>
          <w:bCs/>
        </w:rPr>
        <w:lastRenderedPageBreak/>
        <w:t>Table 1</w:t>
      </w:r>
      <w:r w:rsidRPr="00445AD2">
        <w:rPr>
          <w:rFonts w:eastAsia="Times New Roman"/>
          <w:b/>
          <w:bCs/>
          <w:lang w:val="x-none"/>
        </w:rPr>
        <w:t xml:space="preserve"> – RISK MATRIX</w:t>
      </w:r>
      <w:bookmarkEnd w:id="13"/>
      <w:bookmarkEnd w:id="14"/>
      <w:bookmarkEnd w:id="15"/>
      <w:bookmarkEnd w:id="16"/>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913"/>
        <w:gridCol w:w="740"/>
        <w:gridCol w:w="1052"/>
        <w:gridCol w:w="2451"/>
      </w:tblGrid>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jc w:val="center"/>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Factor</w:t>
            </w:r>
          </w:p>
        </w:tc>
        <w:tc>
          <w:tcPr>
            <w:tcW w:w="1512"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b/>
                <w:sz w:val="18"/>
                <w:szCs w:val="18"/>
                <w:lang w:val="en-US"/>
              </w:rPr>
            </w:pPr>
            <w:r w:rsidRPr="003D73A5">
              <w:rPr>
                <w:rFonts w:asciiTheme="minorHAnsi" w:eastAsiaTheme="minorHAnsi" w:hAnsiTheme="minorHAnsi" w:cs="Arial"/>
                <w:b/>
                <w:sz w:val="18"/>
                <w:szCs w:val="18"/>
                <w:lang w:val="en-US"/>
              </w:rPr>
              <w:t>Details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b/>
                <w:sz w:val="18"/>
                <w:szCs w:val="18"/>
                <w:lang w:val="en-US"/>
              </w:rPr>
            </w:pPr>
            <w:r w:rsidRPr="003D73A5">
              <w:rPr>
                <w:rFonts w:asciiTheme="minorHAnsi" w:eastAsiaTheme="minorHAnsi" w:hAnsiTheme="minorHAnsi" w:cs="Arial"/>
                <w:b/>
                <w:sz w:val="18"/>
                <w:szCs w:val="18"/>
                <w:lang w:val="en-US"/>
              </w:rPr>
              <w:t>Value</w:t>
            </w:r>
          </w:p>
        </w:tc>
        <w:tc>
          <w:tcPr>
            <w:tcW w:w="546"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b/>
                <w:sz w:val="18"/>
                <w:szCs w:val="18"/>
                <w:lang w:val="en-US"/>
              </w:rPr>
            </w:pPr>
            <w:r w:rsidRPr="003D73A5">
              <w:rPr>
                <w:rFonts w:asciiTheme="minorHAnsi" w:eastAsiaTheme="minorHAnsi" w:hAnsiTheme="minorHAnsi" w:cs="Arial"/>
                <w:b/>
                <w:sz w:val="18"/>
                <w:szCs w:val="18"/>
                <w:lang w:val="en-US"/>
              </w:rPr>
              <w:t>Score</w:t>
            </w:r>
          </w:p>
        </w:tc>
        <w:tc>
          <w:tcPr>
            <w:tcW w:w="1272" w:type="pct"/>
            <w:vMerge w:val="restart"/>
          </w:tcPr>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Default="00354974" w:rsidP="002D7D70">
            <w:pPr>
              <w:autoSpaceDE w:val="0"/>
              <w:autoSpaceDN w:val="0"/>
              <w:adjustRightInd w:val="0"/>
              <w:spacing w:line="360" w:lineRule="auto"/>
              <w:rPr>
                <w:b/>
                <w:sz w:val="20"/>
                <w:szCs w:val="20"/>
              </w:rPr>
            </w:pPr>
          </w:p>
          <w:p w:rsidR="00354974" w:rsidRDefault="00354974" w:rsidP="002D7D70">
            <w:pPr>
              <w:autoSpaceDE w:val="0"/>
              <w:autoSpaceDN w:val="0"/>
              <w:adjustRightInd w:val="0"/>
              <w:spacing w:line="360" w:lineRule="auto"/>
              <w:rPr>
                <w:b/>
                <w:sz w:val="20"/>
                <w:szCs w:val="20"/>
              </w:rPr>
            </w:pPr>
          </w:p>
          <w:p w:rsidR="00354974" w:rsidRPr="009E6F9B" w:rsidRDefault="00354974" w:rsidP="002D7D70">
            <w:pPr>
              <w:autoSpaceDE w:val="0"/>
              <w:autoSpaceDN w:val="0"/>
              <w:adjustRightInd w:val="0"/>
              <w:spacing w:line="360" w:lineRule="auto"/>
              <w:rPr>
                <w:b/>
                <w:sz w:val="20"/>
                <w:szCs w:val="20"/>
              </w:rPr>
            </w:pPr>
          </w:p>
          <w:p w:rsidR="00354974" w:rsidRDefault="00354974" w:rsidP="002D7D70">
            <w:pPr>
              <w:autoSpaceDE w:val="0"/>
              <w:autoSpaceDN w:val="0"/>
              <w:adjustRightInd w:val="0"/>
              <w:spacing w:line="360" w:lineRule="auto"/>
              <w:rPr>
                <w:b/>
                <w:sz w:val="20"/>
                <w:szCs w:val="20"/>
              </w:rPr>
            </w:pPr>
            <w:r>
              <w:rPr>
                <w:b/>
                <w:sz w:val="20"/>
                <w:szCs w:val="20"/>
              </w:rPr>
              <w:t>T</w:t>
            </w:r>
            <w:r w:rsidRPr="009E6F9B">
              <w:rPr>
                <w:b/>
                <w:sz w:val="20"/>
                <w:szCs w:val="20"/>
              </w:rPr>
              <w:t>he total score obtained should be compared to the following threshold to determine the relevant risk category: This will give an idea of the type of action that is going to be needed to run the event safely.</w:t>
            </w:r>
            <w:r>
              <w:rPr>
                <w:b/>
                <w:sz w:val="20"/>
                <w:szCs w:val="20"/>
              </w:rPr>
              <w:t xml:space="preserve">  </w:t>
            </w:r>
          </w:p>
          <w:tbl>
            <w:tblPr>
              <w:tblStyle w:val="TableGrid"/>
              <w:tblW w:w="0" w:type="auto"/>
              <w:tblLook w:val="04A0" w:firstRow="1" w:lastRow="0" w:firstColumn="1" w:lastColumn="0" w:noHBand="0" w:noVBand="1"/>
            </w:tblPr>
            <w:tblGrid>
              <w:gridCol w:w="707"/>
              <w:gridCol w:w="1417"/>
            </w:tblGrid>
            <w:tr w:rsidR="00354974" w:rsidTr="002D7D70">
              <w:tc>
                <w:tcPr>
                  <w:tcW w:w="707" w:type="dxa"/>
                </w:tcPr>
                <w:p w:rsidR="00354974" w:rsidRDefault="00760F77" w:rsidP="002D7D70">
                  <w:pPr>
                    <w:autoSpaceDE w:val="0"/>
                    <w:autoSpaceDN w:val="0"/>
                    <w:adjustRightInd w:val="0"/>
                    <w:spacing w:line="360" w:lineRule="auto"/>
                    <w:rPr>
                      <w:b/>
                    </w:rPr>
                  </w:pPr>
                  <w:r>
                    <w:rPr>
                      <w:b/>
                    </w:rPr>
                    <w:t xml:space="preserve"> 0 -14</w:t>
                  </w:r>
                </w:p>
              </w:tc>
              <w:tc>
                <w:tcPr>
                  <w:tcW w:w="1417" w:type="dxa"/>
                </w:tcPr>
                <w:p w:rsidR="00354974" w:rsidRDefault="00354974" w:rsidP="002D7D70">
                  <w:pPr>
                    <w:autoSpaceDE w:val="0"/>
                    <w:autoSpaceDN w:val="0"/>
                    <w:adjustRightInd w:val="0"/>
                    <w:spacing w:line="360" w:lineRule="auto"/>
                    <w:rPr>
                      <w:b/>
                    </w:rPr>
                  </w:pPr>
                  <w:r>
                    <w:rPr>
                      <w:b/>
                    </w:rPr>
                    <w:t>LOW RISK</w:t>
                  </w:r>
                </w:p>
              </w:tc>
            </w:tr>
            <w:tr w:rsidR="00354974" w:rsidTr="002D7D70">
              <w:tc>
                <w:tcPr>
                  <w:tcW w:w="707" w:type="dxa"/>
                </w:tcPr>
                <w:p w:rsidR="00354974" w:rsidRDefault="00760F77" w:rsidP="002D7D70">
                  <w:pPr>
                    <w:autoSpaceDE w:val="0"/>
                    <w:autoSpaceDN w:val="0"/>
                    <w:adjustRightInd w:val="0"/>
                    <w:spacing w:line="360" w:lineRule="auto"/>
                    <w:rPr>
                      <w:b/>
                    </w:rPr>
                  </w:pPr>
                  <w:r>
                    <w:rPr>
                      <w:b/>
                    </w:rPr>
                    <w:t>15</w:t>
                  </w:r>
                  <w:r w:rsidR="00354974">
                    <w:rPr>
                      <w:b/>
                    </w:rPr>
                    <w:t>-30</w:t>
                  </w:r>
                </w:p>
              </w:tc>
              <w:tc>
                <w:tcPr>
                  <w:tcW w:w="1417" w:type="dxa"/>
                </w:tcPr>
                <w:p w:rsidR="00354974" w:rsidRDefault="00354974" w:rsidP="002D7D70">
                  <w:pPr>
                    <w:autoSpaceDE w:val="0"/>
                    <w:autoSpaceDN w:val="0"/>
                    <w:adjustRightInd w:val="0"/>
                    <w:spacing w:line="360" w:lineRule="auto"/>
                    <w:rPr>
                      <w:b/>
                    </w:rPr>
                  </w:pPr>
                  <w:r>
                    <w:rPr>
                      <w:b/>
                    </w:rPr>
                    <w:t xml:space="preserve">MEDIUM RISK </w:t>
                  </w:r>
                </w:p>
              </w:tc>
            </w:tr>
            <w:tr w:rsidR="00354974" w:rsidTr="002D7D70">
              <w:tc>
                <w:tcPr>
                  <w:tcW w:w="707" w:type="dxa"/>
                </w:tcPr>
                <w:p w:rsidR="00354974" w:rsidRDefault="00354974" w:rsidP="002D7D70">
                  <w:pPr>
                    <w:autoSpaceDE w:val="0"/>
                    <w:autoSpaceDN w:val="0"/>
                    <w:adjustRightInd w:val="0"/>
                    <w:spacing w:line="360" w:lineRule="auto"/>
                    <w:rPr>
                      <w:b/>
                    </w:rPr>
                  </w:pPr>
                  <w:r>
                    <w:rPr>
                      <w:b/>
                    </w:rPr>
                    <w:t xml:space="preserve">31 + </w:t>
                  </w:r>
                </w:p>
              </w:tc>
              <w:tc>
                <w:tcPr>
                  <w:tcW w:w="1417" w:type="dxa"/>
                </w:tcPr>
                <w:p w:rsidR="00354974" w:rsidRDefault="00354974" w:rsidP="002D7D70">
                  <w:pPr>
                    <w:autoSpaceDE w:val="0"/>
                    <w:autoSpaceDN w:val="0"/>
                    <w:adjustRightInd w:val="0"/>
                    <w:spacing w:line="360" w:lineRule="auto"/>
                    <w:rPr>
                      <w:b/>
                    </w:rPr>
                  </w:pPr>
                  <w:r>
                    <w:rPr>
                      <w:b/>
                    </w:rPr>
                    <w:t>HIGH RISK</w:t>
                  </w:r>
                </w:p>
              </w:tc>
            </w:tr>
          </w:tbl>
          <w:p w:rsidR="00354974" w:rsidRDefault="00354974" w:rsidP="002D7D70">
            <w:pPr>
              <w:autoSpaceDE w:val="0"/>
              <w:autoSpaceDN w:val="0"/>
              <w:adjustRightInd w:val="0"/>
              <w:spacing w:line="360" w:lineRule="auto"/>
              <w:rPr>
                <w:b/>
                <w:sz w:val="20"/>
                <w:szCs w:val="20"/>
              </w:rPr>
            </w:pPr>
          </w:p>
          <w:p w:rsidR="00354974" w:rsidRDefault="00354974" w:rsidP="002D7D70">
            <w:pPr>
              <w:autoSpaceDE w:val="0"/>
              <w:autoSpaceDN w:val="0"/>
              <w:adjustRightInd w:val="0"/>
              <w:spacing w:line="360" w:lineRule="auto"/>
              <w:rPr>
                <w:rFonts w:asciiTheme="minorHAnsi" w:eastAsiaTheme="minorHAnsi" w:hAnsiTheme="minorHAnsi" w:cs="Arial"/>
                <w:b/>
                <w:sz w:val="20"/>
                <w:szCs w:val="20"/>
                <w:lang w:val="en-US"/>
              </w:rPr>
            </w:pPr>
          </w:p>
          <w:p w:rsidR="00354974" w:rsidRDefault="00354974" w:rsidP="002D7D70">
            <w:pPr>
              <w:autoSpaceDE w:val="0"/>
              <w:autoSpaceDN w:val="0"/>
              <w:adjustRightInd w:val="0"/>
              <w:spacing w:line="360" w:lineRule="auto"/>
              <w:rPr>
                <w:rFonts w:asciiTheme="minorHAnsi" w:eastAsiaTheme="minorHAnsi" w:hAnsiTheme="minorHAnsi" w:cs="Arial"/>
                <w:b/>
                <w:sz w:val="20"/>
                <w:szCs w:val="20"/>
                <w:lang w:val="en-US"/>
              </w:rPr>
            </w:pPr>
            <w:r>
              <w:rPr>
                <w:b/>
                <w:noProof/>
                <w:sz w:val="20"/>
                <w:szCs w:val="20"/>
                <w:lang w:eastAsia="en-IE"/>
              </w:rPr>
              <mc:AlternateContent>
                <mc:Choice Requires="wps">
                  <w:drawing>
                    <wp:anchor distT="0" distB="0" distL="114300" distR="114300" simplePos="0" relativeHeight="251659264" behindDoc="0" locked="0" layoutInCell="1" allowOverlap="1" wp14:anchorId="21F3701C" wp14:editId="1320A3BD">
                      <wp:simplePos x="0" y="0"/>
                      <wp:positionH relativeFrom="column">
                        <wp:posOffset>7620</wp:posOffset>
                      </wp:positionH>
                      <wp:positionV relativeFrom="paragraph">
                        <wp:posOffset>15875</wp:posOffset>
                      </wp:positionV>
                      <wp:extent cx="517890" cy="817296"/>
                      <wp:effectExtent l="0" t="19050" r="34925" b="20955"/>
                      <wp:wrapNone/>
                      <wp:docPr id="5" name="Bent-Up Arrow 5"/>
                      <wp:cNvGraphicFramePr/>
                      <a:graphic xmlns:a="http://schemas.openxmlformats.org/drawingml/2006/main">
                        <a:graphicData uri="http://schemas.microsoft.com/office/word/2010/wordprocessingShape">
                          <wps:wsp>
                            <wps:cNvSpPr/>
                            <wps:spPr>
                              <a:xfrm>
                                <a:off x="0" y="0"/>
                                <a:ext cx="517890" cy="817296"/>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F087B" id="Bent-Up Arrow 5" o:spid="_x0000_s1026" style="position:absolute;margin-left:.6pt;margin-top:1.25pt;width:40.8pt;height:64.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17890,8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" path="m,687824r323681,l323681,129473r-64736,l388418,,517890,129473r-64736,l453154,817296,,817296,,687824xe" fillcolor="black [3200]" strokecolor="black [1600]" strokeweight="1pt">
                      <v:stroke joinstyle="miter"/>
                      <v:path arrowok="t" o:connecttype="custom" o:connectlocs="0,687824;323681,687824;323681,129473;258945,129473;388418,0;517890,129473;453154,129473;453154,817296;0,817296;0,687824" o:connectangles="0,0,0,0,0,0,0,0,0,0"/>
                    </v:shape>
                  </w:pict>
                </mc:Fallback>
              </mc:AlternateContent>
            </w:r>
          </w:p>
          <w:p w:rsidR="00354974" w:rsidRPr="009E6F9B" w:rsidRDefault="00354974" w:rsidP="002D7D70">
            <w:pPr>
              <w:autoSpaceDE w:val="0"/>
              <w:autoSpaceDN w:val="0"/>
              <w:adjustRightInd w:val="0"/>
              <w:spacing w:line="360" w:lineRule="auto"/>
              <w:rPr>
                <w:rFonts w:asciiTheme="minorHAnsi" w:eastAsiaTheme="minorHAnsi" w:hAnsiTheme="minorHAnsi" w:cs="Arial"/>
                <w:b/>
                <w:sz w:val="20"/>
                <w:szCs w:val="20"/>
                <w:lang w:val="en-US"/>
              </w:rPr>
            </w:pPr>
          </w:p>
        </w:tc>
      </w:tr>
      <w:tr w:rsidR="00354974" w:rsidRPr="003D73A5" w:rsidTr="002D7D70">
        <w:trPr>
          <w:trHeight w:val="268"/>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Event Nature</w:t>
            </w: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VIP Visits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Exhibits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Classical / Theatrical Performance </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Athletics and Sport</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Fetes / Fund Raisers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Pop / Rock / Dance events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Parades and Carnivals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Marine / Waterway Events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Celebrations and Parties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Event Venue</w:t>
            </w: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Indoor</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Outdoor, defined boundaries</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4</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 xml:space="preserve">  </w:t>
            </w: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Outdoor, Widespread / street</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Riverbank </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Numbers</w:t>
            </w: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&lt;500</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500 – 1,500</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1,500 – 5,000</w:t>
            </w:r>
          </w:p>
        </w:tc>
        <w:tc>
          <w:tcPr>
            <w:tcW w:w="384" w:type="pct"/>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w:t>
            </w:r>
          </w:p>
        </w:tc>
        <w:tc>
          <w:tcPr>
            <w:tcW w:w="546" w:type="pct"/>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&gt;5,000 plus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10</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Participant accommodation</w:t>
            </w: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All seated</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Mixed (at least 50% seated)</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Standing</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Participant age and profile</w:t>
            </w: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Family groups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Predominately adults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Predominately under 18s </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4</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Predominately elderly</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Conflict / Rival factions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Additional Factors</w:t>
            </w: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Queue management</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Animals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Temporary structures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Bouncy castles / sideshow</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Onsite catering</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Overnight camping</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Traffic movement in crowd area</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Funfair rides</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4</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Alcohol available </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5</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24 Hour/Late event </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10</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6575B3" w:rsidRDefault="00354974" w:rsidP="002D7D70">
            <w:pPr>
              <w:autoSpaceDE w:val="0"/>
              <w:autoSpaceDN w:val="0"/>
              <w:adjustRightInd w:val="0"/>
              <w:spacing w:line="360" w:lineRule="auto"/>
              <w:rPr>
                <w:rFonts w:asciiTheme="minorHAnsi" w:eastAsiaTheme="minorHAnsi" w:hAnsiTheme="minorHAnsi" w:cs="Arial"/>
                <w:b/>
                <w:sz w:val="18"/>
                <w:szCs w:val="18"/>
                <w:lang w:val="en-US"/>
              </w:rPr>
            </w:pPr>
            <w:r w:rsidRPr="006575B3">
              <w:rPr>
                <w:rFonts w:asciiTheme="minorHAnsi" w:eastAsiaTheme="minorHAnsi" w:hAnsiTheme="minorHAnsi" w:cs="Arial"/>
                <w:b/>
                <w:sz w:val="18"/>
                <w:szCs w:val="18"/>
                <w:lang w:val="en-US"/>
              </w:rPr>
              <w:t>First aid present</w:t>
            </w: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Advanced paramedic with vehicle </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1</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 xml:space="preserve">Qualified first aiders </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2</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No first aiders present</w:t>
            </w: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sz w:val="18"/>
                <w:szCs w:val="18"/>
                <w:lang w:val="en-US"/>
              </w:rPr>
            </w:pPr>
            <w:r w:rsidRPr="003D73A5">
              <w:rPr>
                <w:rFonts w:asciiTheme="minorHAnsi" w:eastAsiaTheme="minorHAnsi" w:hAnsiTheme="minorHAnsi" w:cs="Arial"/>
                <w:sz w:val="18"/>
                <w:szCs w:val="18"/>
                <w:lang w:val="en-US"/>
              </w:rPr>
              <w:t>3</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r w:rsidR="00354974" w:rsidRPr="003D73A5" w:rsidTr="002D7D70">
        <w:trPr>
          <w:trHeight w:val="113"/>
        </w:trPr>
        <w:tc>
          <w:tcPr>
            <w:tcW w:w="1286"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1512"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c>
          <w:tcPr>
            <w:tcW w:w="384" w:type="pct"/>
            <w:tcBorders>
              <w:top w:val="single" w:sz="4" w:space="0" w:color="auto"/>
              <w:left w:val="single" w:sz="4" w:space="0" w:color="auto"/>
              <w:bottom w:val="single" w:sz="4" w:space="0" w:color="auto"/>
              <w:right w:val="single" w:sz="4" w:space="0" w:color="auto"/>
            </w:tcBorders>
          </w:tcPr>
          <w:p w:rsidR="00354974" w:rsidRPr="003D73A5" w:rsidRDefault="00354974" w:rsidP="002D7D70">
            <w:pPr>
              <w:autoSpaceDE w:val="0"/>
              <w:autoSpaceDN w:val="0"/>
              <w:adjustRightInd w:val="0"/>
              <w:spacing w:line="360" w:lineRule="auto"/>
              <w:jc w:val="center"/>
              <w:rPr>
                <w:rFonts w:asciiTheme="minorHAnsi" w:eastAsiaTheme="minorHAnsi" w:hAnsiTheme="minorHAnsi" w:cs="Arial"/>
                <w:b/>
                <w:sz w:val="18"/>
                <w:szCs w:val="18"/>
                <w:lang w:val="en-US"/>
              </w:rPr>
            </w:pPr>
            <w:r w:rsidRPr="003D73A5">
              <w:rPr>
                <w:rFonts w:asciiTheme="minorHAnsi" w:eastAsiaTheme="minorHAnsi" w:hAnsiTheme="minorHAnsi" w:cs="Arial"/>
                <w:b/>
                <w:sz w:val="18"/>
                <w:szCs w:val="18"/>
                <w:lang w:val="en-US"/>
              </w:rPr>
              <w:t>Total</w:t>
            </w:r>
          </w:p>
        </w:tc>
        <w:tc>
          <w:tcPr>
            <w:tcW w:w="546" w:type="pct"/>
            <w:tcBorders>
              <w:top w:val="single" w:sz="4" w:space="0" w:color="auto"/>
              <w:left w:val="single" w:sz="4" w:space="0" w:color="auto"/>
              <w:bottom w:val="single" w:sz="4" w:space="0" w:color="auto"/>
            </w:tcBorders>
          </w:tcPr>
          <w:p w:rsidR="00354974" w:rsidRPr="003D73A5" w:rsidRDefault="00354974" w:rsidP="002D7D70">
            <w:pPr>
              <w:autoSpaceDE w:val="0"/>
              <w:autoSpaceDN w:val="0"/>
              <w:adjustRightInd w:val="0"/>
              <w:spacing w:line="360" w:lineRule="auto"/>
              <w:rPr>
                <w:rFonts w:asciiTheme="minorHAnsi" w:eastAsiaTheme="minorHAnsi" w:hAnsiTheme="minorHAnsi" w:cs="Arial"/>
                <w:b/>
                <w:sz w:val="18"/>
                <w:szCs w:val="18"/>
                <w:lang w:val="en-US"/>
              </w:rPr>
            </w:pPr>
          </w:p>
        </w:tc>
        <w:tc>
          <w:tcPr>
            <w:tcW w:w="1272" w:type="pct"/>
            <w:vMerge/>
          </w:tcPr>
          <w:p w:rsidR="00354974" w:rsidRPr="003D73A5" w:rsidRDefault="00354974" w:rsidP="002D7D70">
            <w:pPr>
              <w:autoSpaceDE w:val="0"/>
              <w:autoSpaceDN w:val="0"/>
              <w:adjustRightInd w:val="0"/>
              <w:spacing w:line="360" w:lineRule="auto"/>
              <w:rPr>
                <w:rFonts w:asciiTheme="minorHAnsi" w:eastAsiaTheme="minorHAnsi" w:hAnsiTheme="minorHAnsi" w:cs="Arial"/>
                <w:sz w:val="18"/>
                <w:szCs w:val="18"/>
                <w:lang w:val="en-US"/>
              </w:rPr>
            </w:pPr>
          </w:p>
        </w:tc>
      </w:tr>
    </w:tbl>
    <w:p w:rsidR="00F371D6" w:rsidRDefault="00F371D6" w:rsidP="00354974"/>
    <w:sectPr w:rsidR="00F371D6" w:rsidSect="00354974">
      <w:pgSz w:w="11906" w:h="16838"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CC" w:rsidRDefault="00713ECC" w:rsidP="00EE5BC2">
      <w:r>
        <w:separator/>
      </w:r>
    </w:p>
  </w:endnote>
  <w:endnote w:type="continuationSeparator" w:id="0">
    <w:p w:rsidR="00713ECC" w:rsidRDefault="00713ECC" w:rsidP="00EE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CC" w:rsidRDefault="00713ECC" w:rsidP="00EE5BC2">
      <w:r>
        <w:separator/>
      </w:r>
    </w:p>
  </w:footnote>
  <w:footnote w:type="continuationSeparator" w:id="0">
    <w:p w:rsidR="00713ECC" w:rsidRDefault="00713ECC" w:rsidP="00EE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3660E"/>
    <w:multiLevelType w:val="multilevel"/>
    <w:tmpl w:val="C46E2A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74"/>
    <w:rsid w:val="00184048"/>
    <w:rsid w:val="002F6877"/>
    <w:rsid w:val="00354974"/>
    <w:rsid w:val="00713ECC"/>
    <w:rsid w:val="00760F77"/>
    <w:rsid w:val="007F4ADB"/>
    <w:rsid w:val="00EE5BC2"/>
    <w:rsid w:val="00F371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AE9E"/>
  <w15:chartTrackingRefBased/>
  <w15:docId w15:val="{1760A621-A05B-4E88-A55F-CF09E4C5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7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97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E5BC2"/>
    <w:pPr>
      <w:tabs>
        <w:tab w:val="center" w:pos="4513"/>
        <w:tab w:val="right" w:pos="9026"/>
      </w:tabs>
    </w:pPr>
  </w:style>
  <w:style w:type="character" w:customStyle="1" w:styleId="HeaderChar">
    <w:name w:val="Header Char"/>
    <w:basedOn w:val="DefaultParagraphFont"/>
    <w:link w:val="Header"/>
    <w:uiPriority w:val="99"/>
    <w:rsid w:val="00EE5BC2"/>
    <w:rPr>
      <w:rFonts w:ascii="Calibri" w:eastAsia="Calibri" w:hAnsi="Calibri" w:cs="Times New Roman"/>
    </w:rPr>
  </w:style>
  <w:style w:type="paragraph" w:styleId="Footer">
    <w:name w:val="footer"/>
    <w:basedOn w:val="Normal"/>
    <w:link w:val="FooterChar"/>
    <w:uiPriority w:val="99"/>
    <w:unhideWhenUsed/>
    <w:rsid w:val="00EE5BC2"/>
    <w:pPr>
      <w:tabs>
        <w:tab w:val="center" w:pos="4513"/>
        <w:tab w:val="right" w:pos="9026"/>
      </w:tabs>
    </w:pPr>
  </w:style>
  <w:style w:type="character" w:customStyle="1" w:styleId="FooterChar">
    <w:name w:val="Footer Char"/>
    <w:basedOn w:val="DefaultParagraphFont"/>
    <w:link w:val="Footer"/>
    <w:uiPriority w:val="99"/>
    <w:rsid w:val="00EE5B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Hornibrook, Máire</dc:creator>
  <cp:keywords/>
  <dc:description/>
  <cp:lastModifiedBy>Wallace, Michael</cp:lastModifiedBy>
  <cp:revision>2</cp:revision>
  <dcterms:created xsi:type="dcterms:W3CDTF">2024-03-19T14:44:00Z</dcterms:created>
  <dcterms:modified xsi:type="dcterms:W3CDTF">2024-03-19T14:44:00Z</dcterms:modified>
</cp:coreProperties>
</file>