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3235" w14:textId="31429275" w:rsidR="00B1650A" w:rsidRDefault="001C71BA" w:rsidP="001C71BA">
      <w:pPr>
        <w:jc w:val="center"/>
        <w:rPr>
          <w:b/>
          <w:bCs/>
        </w:rPr>
      </w:pPr>
      <w:r>
        <w:rPr>
          <w:rFonts w:ascii="Times New Roman"/>
          <w:noProof/>
          <w:sz w:val="20"/>
        </w:rPr>
        <w:drawing>
          <wp:inline distT="0" distB="0" distL="0" distR="0" wp14:anchorId="61F95DF4" wp14:editId="03378DFD">
            <wp:extent cx="2892287" cy="1038639"/>
            <wp:effectExtent l="0" t="0" r="3810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61" cy="10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35484" w14:textId="77777777" w:rsidR="00B1650A" w:rsidRDefault="00B1650A" w:rsidP="00555995">
      <w:pPr>
        <w:rPr>
          <w:b/>
          <w:bCs/>
        </w:rPr>
      </w:pPr>
    </w:p>
    <w:p w14:paraId="13C64F41" w14:textId="6C07F0F4" w:rsidR="00555995" w:rsidRDefault="00555995" w:rsidP="001C71BA">
      <w:pPr>
        <w:jc w:val="center"/>
        <w:rPr>
          <w:b/>
          <w:bCs/>
          <w:sz w:val="32"/>
          <w:szCs w:val="32"/>
          <w:u w:val="single"/>
        </w:rPr>
      </w:pPr>
      <w:r w:rsidRPr="001C71BA">
        <w:rPr>
          <w:b/>
          <w:bCs/>
          <w:sz w:val="32"/>
          <w:szCs w:val="32"/>
          <w:u w:val="single"/>
        </w:rPr>
        <w:t>Annual</w:t>
      </w:r>
      <w:r w:rsidR="00B1650A" w:rsidRPr="001C71BA">
        <w:rPr>
          <w:b/>
          <w:bCs/>
          <w:sz w:val="32"/>
          <w:szCs w:val="32"/>
          <w:u w:val="single"/>
        </w:rPr>
        <w:t xml:space="preserve"> Report on</w:t>
      </w:r>
      <w:r w:rsidRPr="001C71BA">
        <w:rPr>
          <w:b/>
          <w:bCs/>
          <w:sz w:val="32"/>
          <w:szCs w:val="32"/>
          <w:u w:val="single"/>
        </w:rPr>
        <w:t xml:space="preserve"> Protected Disclosures</w:t>
      </w:r>
    </w:p>
    <w:p w14:paraId="6FB9A42C" w14:textId="77777777" w:rsidR="001C71BA" w:rsidRPr="001C71BA" w:rsidRDefault="001C71BA" w:rsidP="001C71BA">
      <w:pPr>
        <w:jc w:val="center"/>
        <w:rPr>
          <w:b/>
          <w:bCs/>
          <w:sz w:val="32"/>
          <w:szCs w:val="32"/>
          <w:u w:val="single"/>
        </w:rPr>
      </w:pPr>
    </w:p>
    <w:p w14:paraId="39DB19AD" w14:textId="4C5622EE" w:rsidR="00555995" w:rsidRPr="00555995" w:rsidRDefault="00555995" w:rsidP="00555995">
      <w:r w:rsidRPr="00555995">
        <w:rPr>
          <w:b/>
          <w:bCs/>
        </w:rPr>
        <w:t>Reporting Period:</w:t>
      </w:r>
      <w:r w:rsidR="00492FB3">
        <w:t xml:space="preserve"> 1</w:t>
      </w:r>
      <w:r w:rsidRPr="00555995">
        <w:t xml:space="preserve"> January 2025 – 31 December 2025</w:t>
      </w:r>
      <w:r w:rsidRPr="00555995">
        <w:br/>
      </w:r>
    </w:p>
    <w:p w14:paraId="0C765F22" w14:textId="77777777" w:rsidR="00555995" w:rsidRPr="00915583" w:rsidRDefault="00555995" w:rsidP="00555995">
      <w:pPr>
        <w:rPr>
          <w:b/>
          <w:bCs/>
          <w:u w:val="single"/>
        </w:rPr>
      </w:pPr>
      <w:r w:rsidRPr="00915583">
        <w:rPr>
          <w:b/>
          <w:bCs/>
          <w:u w:val="single"/>
        </w:rPr>
        <w:t>1. Introduction</w:t>
      </w:r>
    </w:p>
    <w:p w14:paraId="342C5BDE" w14:textId="302BE453" w:rsidR="00555995" w:rsidRPr="00555995" w:rsidRDefault="00555995" w:rsidP="00555995">
      <w:r w:rsidRPr="00555995">
        <w:t>This annual report provides an overview of protected disclosures</w:t>
      </w:r>
      <w:r w:rsidR="005375F0">
        <w:rPr>
          <w:rStyle w:val="FootnoteReference"/>
        </w:rPr>
        <w:footnoteReference w:id="1"/>
      </w:r>
      <w:r w:rsidRPr="00555995">
        <w:t xml:space="preserve"> received during the reporting period, in accordance with the Protected Disclosures Act 2014 (</w:t>
      </w:r>
      <w:r w:rsidR="00BB173B">
        <w:t>a</w:t>
      </w:r>
      <w:r w:rsidRPr="00555995">
        <w:t>mended 2022).</w:t>
      </w:r>
    </w:p>
    <w:p w14:paraId="24CD1630" w14:textId="78C776EA" w:rsidR="00555995" w:rsidRPr="00555995" w:rsidRDefault="00555995" w:rsidP="00555995">
      <w:r w:rsidRPr="00555995">
        <w:t>University</w:t>
      </w:r>
      <w:r>
        <w:t xml:space="preserve"> of Galway</w:t>
      </w:r>
      <w:r w:rsidRPr="00555995">
        <w:t xml:space="preserve"> is committed to:</w:t>
      </w:r>
    </w:p>
    <w:p w14:paraId="6AD8EE4D" w14:textId="77777777" w:rsidR="00555995" w:rsidRPr="00555995" w:rsidRDefault="00555995" w:rsidP="00555995">
      <w:pPr>
        <w:numPr>
          <w:ilvl w:val="0"/>
          <w:numId w:val="1"/>
        </w:numPr>
      </w:pPr>
      <w:r w:rsidRPr="00555995">
        <w:t>Promoting a culture of transparency, accountability, and ethical behaviour</w:t>
      </w:r>
    </w:p>
    <w:p w14:paraId="1F3AE906" w14:textId="77777777" w:rsidR="00555995" w:rsidRPr="00555995" w:rsidRDefault="00555995" w:rsidP="00555995">
      <w:pPr>
        <w:numPr>
          <w:ilvl w:val="0"/>
          <w:numId w:val="1"/>
        </w:numPr>
      </w:pPr>
      <w:r w:rsidRPr="00555995">
        <w:t>Supporting individuals who raise concerns in good faith</w:t>
      </w:r>
    </w:p>
    <w:p w14:paraId="320A5822" w14:textId="77777777" w:rsidR="00555995" w:rsidRPr="00555995" w:rsidRDefault="00555995" w:rsidP="00555995">
      <w:pPr>
        <w:numPr>
          <w:ilvl w:val="0"/>
          <w:numId w:val="1"/>
        </w:numPr>
      </w:pPr>
      <w:r w:rsidRPr="00555995">
        <w:t>Ensuring appropriate investigation and follow-up of disclosures</w:t>
      </w:r>
    </w:p>
    <w:p w14:paraId="51E3D8BB" w14:textId="7E2AEA48" w:rsidR="00555995" w:rsidRPr="00555995" w:rsidRDefault="00555995" w:rsidP="00555995"/>
    <w:p w14:paraId="2CFE699B" w14:textId="77777777" w:rsidR="00555995" w:rsidRPr="00915583" w:rsidRDefault="00555995" w:rsidP="00555995">
      <w:pPr>
        <w:rPr>
          <w:b/>
          <w:bCs/>
          <w:u w:val="single"/>
        </w:rPr>
      </w:pPr>
      <w:r w:rsidRPr="00915583">
        <w:rPr>
          <w:b/>
          <w:bCs/>
          <w:u w:val="single"/>
        </w:rPr>
        <w:t>2. Legislative Context</w:t>
      </w:r>
    </w:p>
    <w:p w14:paraId="372639D3" w14:textId="521461D6" w:rsidR="00555995" w:rsidRPr="00555995" w:rsidRDefault="00555995" w:rsidP="00555995">
      <w:r w:rsidRPr="00555995">
        <w:t xml:space="preserve">This report is prepared in </w:t>
      </w:r>
      <w:r w:rsidR="00C86D49">
        <w:t>accordance</w:t>
      </w:r>
      <w:r w:rsidRPr="00555995">
        <w:t xml:space="preserve"> with:</w:t>
      </w:r>
    </w:p>
    <w:p w14:paraId="50851750" w14:textId="77777777" w:rsidR="00555995" w:rsidRPr="00555995" w:rsidRDefault="00555995" w:rsidP="00555995">
      <w:pPr>
        <w:pStyle w:val="ListParagraph"/>
        <w:numPr>
          <w:ilvl w:val="0"/>
          <w:numId w:val="14"/>
        </w:numPr>
        <w:tabs>
          <w:tab w:val="num" w:pos="720"/>
        </w:tabs>
      </w:pPr>
      <w:r w:rsidRPr="00555995">
        <w:t>Protected Disclosures Act 2014</w:t>
      </w:r>
    </w:p>
    <w:p w14:paraId="1CDC32BA" w14:textId="77777777" w:rsidR="00555995" w:rsidRPr="00555995" w:rsidRDefault="00555995" w:rsidP="00555995">
      <w:pPr>
        <w:pStyle w:val="ListParagraph"/>
        <w:numPr>
          <w:ilvl w:val="0"/>
          <w:numId w:val="14"/>
        </w:numPr>
        <w:tabs>
          <w:tab w:val="num" w:pos="720"/>
        </w:tabs>
      </w:pPr>
      <w:r w:rsidRPr="00555995">
        <w:t>Protected Disclosures (Amendment) Act 2022</w:t>
      </w:r>
    </w:p>
    <w:p w14:paraId="0AEED30C" w14:textId="6A7D028E" w:rsidR="00555995" w:rsidRPr="00555995" w:rsidRDefault="00555995" w:rsidP="00555995">
      <w:pPr>
        <w:pStyle w:val="ListParagraph"/>
        <w:numPr>
          <w:ilvl w:val="0"/>
          <w:numId w:val="14"/>
        </w:numPr>
        <w:tabs>
          <w:tab w:val="num" w:pos="720"/>
        </w:tabs>
      </w:pPr>
      <w:r w:rsidRPr="00555995">
        <w:t>Relevant guidance issued by the Department of Public Expenditure and the Office of the Protected Disclosures Commissioner</w:t>
      </w:r>
    </w:p>
    <w:p w14:paraId="20F39845" w14:textId="6EECC9C6" w:rsidR="008A7DB6" w:rsidRDefault="008A7DB6" w:rsidP="008A7DB6">
      <w:r w:rsidRPr="008A7DB6">
        <w:t xml:space="preserve">The </w:t>
      </w:r>
      <w:r w:rsidR="00E4566D">
        <w:t xml:space="preserve">Protected Disclosures </w:t>
      </w:r>
      <w:r w:rsidRPr="008A7DB6">
        <w:t>Act requires</w:t>
      </w:r>
      <w:r w:rsidR="005375F0">
        <w:t xml:space="preserve"> </w:t>
      </w:r>
      <w:r w:rsidRPr="008A7DB6">
        <w:t>public bod</w:t>
      </w:r>
      <w:r w:rsidR="005375F0">
        <w:t>ies</w:t>
      </w:r>
      <w:r w:rsidRPr="008A7DB6">
        <w:t xml:space="preserve"> to establish and maintain procedures for dealing with protected disclosures. </w:t>
      </w:r>
      <w:r>
        <w:t xml:space="preserve">University of Galway </w:t>
      </w:r>
      <w:r w:rsidRPr="008A7DB6">
        <w:t xml:space="preserve">has </w:t>
      </w:r>
      <w:r w:rsidR="000B76FC">
        <w:t>a formal policy with detailed</w:t>
      </w:r>
      <w:r w:rsidRPr="008A7DB6">
        <w:t xml:space="preserve"> procedures in place for both internal and external protected disclosures</w:t>
      </w:r>
      <w:r w:rsidR="00833B57">
        <w:t xml:space="preserve"> (</w:t>
      </w:r>
      <w:hyperlink r:id="rId9" w:history="1">
        <w:r w:rsidR="00833B57" w:rsidRPr="00A81F83">
          <w:rPr>
            <w:rStyle w:val="Hyperlink"/>
          </w:rPr>
          <w:t>Protected-Disclosures-Policy-Final-February-2024-b.pdf</w:t>
        </w:r>
      </w:hyperlink>
      <w:r w:rsidR="00DA4F14">
        <w:t>)</w:t>
      </w:r>
      <w:r w:rsidRPr="008A7DB6">
        <w:t xml:space="preserve">.  Internal </w:t>
      </w:r>
      <w:r w:rsidRPr="008A7DB6">
        <w:lastRenderedPageBreak/>
        <w:t>protected disclosures are reports made by current or former staff members that relate to potential wrongdoing, occurring within</w:t>
      </w:r>
      <w:r w:rsidR="00DA4F14">
        <w:t xml:space="preserve"> the University</w:t>
      </w:r>
      <w:r w:rsidRPr="008A7DB6">
        <w:t>, which came to their attention in the course of their work. Internal disclosures can be made verbally or in writing, through line manage</w:t>
      </w:r>
      <w:r w:rsidR="005B43C9">
        <w:t xml:space="preserve">rs </w:t>
      </w:r>
      <w:r w:rsidRPr="008A7DB6">
        <w:t xml:space="preserve">or to </w:t>
      </w:r>
      <w:r w:rsidR="00DA4F14">
        <w:t>the Vice President for Equality, Diversity and Inclusion as Chair of</w:t>
      </w:r>
      <w:r w:rsidRPr="008A7DB6">
        <w:t xml:space="preserve"> </w:t>
      </w:r>
      <w:r w:rsidR="00DA4F14">
        <w:t xml:space="preserve">the </w:t>
      </w:r>
      <w:r w:rsidRPr="008A7DB6">
        <w:t>Protected Disclosures Group.</w:t>
      </w:r>
    </w:p>
    <w:p w14:paraId="26B8D639" w14:textId="77777777" w:rsidR="00DA4F14" w:rsidRPr="00555995" w:rsidRDefault="00DA4F14" w:rsidP="008A7DB6"/>
    <w:p w14:paraId="7842ABD4" w14:textId="77777777" w:rsidR="00555995" w:rsidRPr="00915583" w:rsidRDefault="00555995" w:rsidP="00555995">
      <w:pPr>
        <w:rPr>
          <w:b/>
          <w:bCs/>
          <w:u w:val="single"/>
        </w:rPr>
      </w:pPr>
      <w:r w:rsidRPr="00915583">
        <w:rPr>
          <w:b/>
          <w:bCs/>
          <w:u w:val="single"/>
        </w:rPr>
        <w:t>3. Reporting Mechanisms</w:t>
      </w:r>
    </w:p>
    <w:p w14:paraId="30C6D981" w14:textId="77777777" w:rsidR="00555995" w:rsidRPr="00555995" w:rsidRDefault="00555995" w:rsidP="00555995">
      <w:r w:rsidRPr="00555995">
        <w:t>The University maintains multiple secure channels for making disclosures, including:</w:t>
      </w:r>
    </w:p>
    <w:p w14:paraId="5792FC82" w14:textId="77777777" w:rsidR="00555995" w:rsidRPr="00555995" w:rsidRDefault="00555995" w:rsidP="00555995">
      <w:pPr>
        <w:numPr>
          <w:ilvl w:val="0"/>
          <w:numId w:val="4"/>
        </w:numPr>
      </w:pPr>
      <w:r w:rsidRPr="00555995">
        <w:t>Internal disclosures to designated persons</w:t>
      </w:r>
    </w:p>
    <w:p w14:paraId="3CEDEE7A" w14:textId="77777777" w:rsidR="00555995" w:rsidRPr="00555995" w:rsidRDefault="00555995" w:rsidP="00555995">
      <w:pPr>
        <w:numPr>
          <w:ilvl w:val="0"/>
          <w:numId w:val="4"/>
        </w:numPr>
      </w:pPr>
      <w:r w:rsidRPr="00555995">
        <w:t>External disclosure routes (as prescribed by law)</w:t>
      </w:r>
    </w:p>
    <w:p w14:paraId="0EE2A3B4" w14:textId="77777777" w:rsidR="00555995" w:rsidRPr="00555995" w:rsidRDefault="00555995" w:rsidP="00555995">
      <w:pPr>
        <w:numPr>
          <w:ilvl w:val="0"/>
          <w:numId w:val="4"/>
        </w:numPr>
      </w:pPr>
      <w:r w:rsidRPr="00555995">
        <w:t>Confidential/anonymous reporting mechanisms</w:t>
      </w:r>
    </w:p>
    <w:p w14:paraId="27AEDAA7" w14:textId="05F62CC1" w:rsidR="00555995" w:rsidRDefault="00555995" w:rsidP="00555995">
      <w:r w:rsidRPr="00555995">
        <w:t xml:space="preserve">Public information is available at: </w:t>
      </w:r>
      <w:hyperlink r:id="rId10" w:history="1">
        <w:r w:rsidR="00CD642B" w:rsidRPr="00CD642B">
          <w:rPr>
            <w:rStyle w:val="Hyperlink"/>
          </w:rPr>
          <w:t>Protected Disclosures - University of Galway</w:t>
        </w:r>
      </w:hyperlink>
    </w:p>
    <w:p w14:paraId="59C1CC7F" w14:textId="77777777" w:rsidR="00CD642B" w:rsidRPr="00555995" w:rsidRDefault="00CD642B" w:rsidP="00555995"/>
    <w:p w14:paraId="792D7BA0" w14:textId="77777777" w:rsidR="00555995" w:rsidRPr="00915583" w:rsidRDefault="00555995" w:rsidP="00555995">
      <w:pPr>
        <w:rPr>
          <w:b/>
          <w:bCs/>
          <w:u w:val="single"/>
        </w:rPr>
      </w:pPr>
      <w:r w:rsidRPr="00915583">
        <w:rPr>
          <w:b/>
          <w:bCs/>
          <w:u w:val="single"/>
        </w:rPr>
        <w:t>4. Summary of Disclosures Received</w:t>
      </w:r>
    </w:p>
    <w:p w14:paraId="60EC9625" w14:textId="77777777" w:rsidR="00555995" w:rsidRPr="00FE6E81" w:rsidRDefault="00555995" w:rsidP="00555995">
      <w:pPr>
        <w:rPr>
          <w:b/>
          <w:bCs/>
          <w:i/>
          <w:iCs/>
        </w:rPr>
      </w:pPr>
      <w:r w:rsidRPr="00FE6E81">
        <w:rPr>
          <w:b/>
          <w:bCs/>
          <w:i/>
          <w:iCs/>
        </w:rPr>
        <w:t>4.1 Total Number of Disclosures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975"/>
      </w:tblGrid>
      <w:tr w:rsidR="00555995" w:rsidRPr="00555995" w14:paraId="41486060" w14:textId="77777777" w:rsidTr="00C46DB7">
        <w:trPr>
          <w:tblHeader/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F48EE5E" w14:textId="77777777" w:rsidR="00555995" w:rsidRPr="00555995" w:rsidRDefault="00555995" w:rsidP="00555995">
            <w:pPr>
              <w:rPr>
                <w:b/>
                <w:bCs/>
              </w:rPr>
            </w:pPr>
            <w:r w:rsidRPr="00555995">
              <w:rPr>
                <w:b/>
                <w:bCs/>
              </w:rPr>
              <w:t>Category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ED7FB0" w14:textId="77777777" w:rsidR="00555995" w:rsidRPr="00555995" w:rsidRDefault="00555995" w:rsidP="00555995">
            <w:pPr>
              <w:rPr>
                <w:b/>
                <w:bCs/>
              </w:rPr>
            </w:pPr>
            <w:r w:rsidRPr="00555995">
              <w:rPr>
                <w:b/>
                <w:bCs/>
              </w:rPr>
              <w:t>Number</w:t>
            </w:r>
          </w:p>
        </w:tc>
      </w:tr>
      <w:tr w:rsidR="00555995" w:rsidRPr="00555995" w14:paraId="0F668D39" w14:textId="77777777" w:rsidTr="00C46D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609C3" w14:textId="77777777" w:rsidR="00555995" w:rsidRPr="00555995" w:rsidRDefault="00555995" w:rsidP="00555995">
            <w:r w:rsidRPr="00555995">
              <w:t>Total disclosures received</w:t>
            </w:r>
          </w:p>
        </w:tc>
        <w:tc>
          <w:tcPr>
            <w:tcW w:w="0" w:type="auto"/>
            <w:vAlign w:val="center"/>
            <w:hideMark/>
          </w:tcPr>
          <w:p w14:paraId="4CD12ADF" w14:textId="4A7B1954" w:rsidR="00555995" w:rsidRPr="00555995" w:rsidRDefault="00DA4F14" w:rsidP="00555995">
            <w:r>
              <w:t>3</w:t>
            </w:r>
          </w:p>
        </w:tc>
      </w:tr>
      <w:tr w:rsidR="00555995" w:rsidRPr="00555995" w14:paraId="328CCF3E" w14:textId="77777777" w:rsidTr="00C46D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47FDF" w14:textId="77777777" w:rsidR="00555995" w:rsidRPr="00555995" w:rsidRDefault="00555995" w:rsidP="00555995">
            <w:r w:rsidRPr="00555995">
              <w:t>Deemed protected disclosures</w:t>
            </w:r>
          </w:p>
        </w:tc>
        <w:tc>
          <w:tcPr>
            <w:tcW w:w="0" w:type="auto"/>
            <w:vAlign w:val="center"/>
            <w:hideMark/>
          </w:tcPr>
          <w:p w14:paraId="1AEA88BF" w14:textId="76CD6B67" w:rsidR="00555995" w:rsidRPr="00555995" w:rsidRDefault="0012314E" w:rsidP="00555995">
            <w:r>
              <w:t>3</w:t>
            </w:r>
          </w:p>
        </w:tc>
      </w:tr>
      <w:tr w:rsidR="00555995" w:rsidRPr="00555995" w14:paraId="2625C112" w14:textId="77777777" w:rsidTr="00C46D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75EC7" w14:textId="77777777" w:rsidR="00555995" w:rsidRPr="00555995" w:rsidRDefault="00555995" w:rsidP="00555995">
            <w:r w:rsidRPr="00555995">
              <w:t>Not deemed protected disclosures</w:t>
            </w:r>
          </w:p>
        </w:tc>
        <w:tc>
          <w:tcPr>
            <w:tcW w:w="0" w:type="auto"/>
            <w:vAlign w:val="center"/>
            <w:hideMark/>
          </w:tcPr>
          <w:p w14:paraId="52FBEFA7" w14:textId="718B77E2" w:rsidR="00555995" w:rsidRPr="00555995" w:rsidRDefault="0012314E" w:rsidP="00555995">
            <w:r>
              <w:t>0</w:t>
            </w:r>
          </w:p>
        </w:tc>
      </w:tr>
    </w:tbl>
    <w:p w14:paraId="116C9C7E" w14:textId="0CEA1568" w:rsidR="00555995" w:rsidRPr="00555995" w:rsidRDefault="00555995" w:rsidP="00555995"/>
    <w:p w14:paraId="0EBC5628" w14:textId="77777777" w:rsidR="00555995" w:rsidRPr="00FE6E81" w:rsidRDefault="00555995" w:rsidP="00555995">
      <w:pPr>
        <w:rPr>
          <w:b/>
          <w:bCs/>
          <w:i/>
          <w:iCs/>
        </w:rPr>
      </w:pPr>
      <w:r w:rsidRPr="00FE6E81">
        <w:rPr>
          <w:b/>
          <w:bCs/>
          <w:i/>
          <w:iCs/>
        </w:rPr>
        <w:t>4.2 Nature of Concerns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975"/>
      </w:tblGrid>
      <w:tr w:rsidR="00555995" w:rsidRPr="00555995" w14:paraId="67910BE6" w14:textId="77777777" w:rsidTr="00654CE6">
        <w:trPr>
          <w:tblHeader/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14D6F9F" w14:textId="77777777" w:rsidR="00555995" w:rsidRPr="00555995" w:rsidRDefault="00555995" w:rsidP="00555995">
            <w:pPr>
              <w:rPr>
                <w:b/>
                <w:bCs/>
              </w:rPr>
            </w:pPr>
            <w:r w:rsidRPr="00555995">
              <w:rPr>
                <w:b/>
                <w:bCs/>
              </w:rPr>
              <w:t>Type of Concern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2BFEA6D" w14:textId="77777777" w:rsidR="00555995" w:rsidRPr="00555995" w:rsidRDefault="00555995" w:rsidP="00555995">
            <w:pPr>
              <w:rPr>
                <w:b/>
                <w:bCs/>
              </w:rPr>
            </w:pPr>
            <w:r w:rsidRPr="00555995">
              <w:rPr>
                <w:b/>
                <w:bCs/>
              </w:rPr>
              <w:t>Number</w:t>
            </w:r>
          </w:p>
        </w:tc>
      </w:tr>
      <w:tr w:rsidR="00555995" w:rsidRPr="00555995" w14:paraId="74D3AB5A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253A7" w14:textId="77777777" w:rsidR="00555995" w:rsidRPr="00555995" w:rsidRDefault="00555995" w:rsidP="00555995">
            <w:r w:rsidRPr="00555995">
              <w:t>Financial/reporting irregularities</w:t>
            </w:r>
          </w:p>
        </w:tc>
        <w:tc>
          <w:tcPr>
            <w:tcW w:w="0" w:type="auto"/>
            <w:vAlign w:val="center"/>
            <w:hideMark/>
          </w:tcPr>
          <w:p w14:paraId="1CD00EC7" w14:textId="3372BB4E" w:rsidR="00555995" w:rsidRPr="00555995" w:rsidRDefault="00654CE6" w:rsidP="00555995">
            <w:r>
              <w:t>0</w:t>
            </w:r>
          </w:p>
        </w:tc>
      </w:tr>
      <w:tr w:rsidR="00555995" w:rsidRPr="00555995" w14:paraId="3D671871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18B56" w14:textId="77777777" w:rsidR="00555995" w:rsidRPr="00555995" w:rsidRDefault="00555995" w:rsidP="00555995">
            <w:r w:rsidRPr="00555995">
              <w:t>Governance issues</w:t>
            </w:r>
          </w:p>
        </w:tc>
        <w:tc>
          <w:tcPr>
            <w:tcW w:w="0" w:type="auto"/>
            <w:vAlign w:val="center"/>
            <w:hideMark/>
          </w:tcPr>
          <w:p w14:paraId="742B54F4" w14:textId="6B47902B" w:rsidR="00555995" w:rsidRPr="00555995" w:rsidRDefault="00654CE6" w:rsidP="00555995">
            <w:r>
              <w:t>0</w:t>
            </w:r>
          </w:p>
        </w:tc>
      </w:tr>
      <w:tr w:rsidR="00555995" w:rsidRPr="00555995" w14:paraId="6C16D771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16E02" w14:textId="77777777" w:rsidR="00555995" w:rsidRPr="00555995" w:rsidRDefault="00555995" w:rsidP="00555995">
            <w:r w:rsidRPr="00555995">
              <w:t>Health &amp; safety concerns</w:t>
            </w:r>
          </w:p>
        </w:tc>
        <w:tc>
          <w:tcPr>
            <w:tcW w:w="0" w:type="auto"/>
            <w:vAlign w:val="center"/>
            <w:hideMark/>
          </w:tcPr>
          <w:p w14:paraId="18861D18" w14:textId="5F04FA61" w:rsidR="00555995" w:rsidRPr="00555995" w:rsidRDefault="008A3A75" w:rsidP="00555995">
            <w:r>
              <w:t>0</w:t>
            </w:r>
          </w:p>
        </w:tc>
      </w:tr>
      <w:tr w:rsidR="00555995" w:rsidRPr="00555995" w14:paraId="3C55DBA9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3ECF5" w14:textId="77777777" w:rsidR="00555995" w:rsidRPr="00555995" w:rsidRDefault="00555995" w:rsidP="00555995">
            <w:r w:rsidRPr="00555995">
              <w:t>Bullying/harassment (where qualifying)</w:t>
            </w:r>
          </w:p>
        </w:tc>
        <w:tc>
          <w:tcPr>
            <w:tcW w:w="0" w:type="auto"/>
            <w:vAlign w:val="center"/>
            <w:hideMark/>
          </w:tcPr>
          <w:p w14:paraId="05B643DB" w14:textId="5318CCE6" w:rsidR="00555995" w:rsidRPr="00555995" w:rsidRDefault="00B544F2" w:rsidP="00555995">
            <w:r>
              <w:t>1</w:t>
            </w:r>
          </w:p>
        </w:tc>
      </w:tr>
      <w:tr w:rsidR="00555995" w:rsidRPr="00555995" w14:paraId="4EAEFEC3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8B797" w14:textId="77777777" w:rsidR="00555995" w:rsidRPr="00555995" w:rsidRDefault="00555995" w:rsidP="00555995">
            <w:r w:rsidRPr="00555995">
              <w:t>Environmental concerns</w:t>
            </w:r>
          </w:p>
        </w:tc>
        <w:tc>
          <w:tcPr>
            <w:tcW w:w="0" w:type="auto"/>
            <w:vAlign w:val="center"/>
            <w:hideMark/>
          </w:tcPr>
          <w:p w14:paraId="4907E37D" w14:textId="53887893" w:rsidR="00555995" w:rsidRPr="00555995" w:rsidRDefault="00654CE6" w:rsidP="00555995">
            <w:r>
              <w:t>0</w:t>
            </w:r>
          </w:p>
        </w:tc>
      </w:tr>
      <w:tr w:rsidR="00555995" w:rsidRPr="00555995" w14:paraId="6842145A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05C34" w14:textId="4C31C619" w:rsidR="00555995" w:rsidRPr="00555995" w:rsidRDefault="00555995" w:rsidP="00555995">
            <w:r w:rsidRPr="00555995">
              <w:lastRenderedPageBreak/>
              <w:t>Other</w:t>
            </w:r>
            <w:r w:rsidR="00654CE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8DF6CE" w14:textId="3586860E" w:rsidR="00555995" w:rsidRPr="00555995" w:rsidRDefault="00654CE6" w:rsidP="00555995">
            <w:r>
              <w:t>2</w:t>
            </w:r>
          </w:p>
        </w:tc>
      </w:tr>
    </w:tbl>
    <w:p w14:paraId="42E66230" w14:textId="77777777" w:rsidR="00B544F2" w:rsidRDefault="00B544F2" w:rsidP="00555995">
      <w:pPr>
        <w:rPr>
          <w:b/>
          <w:bCs/>
        </w:rPr>
      </w:pPr>
    </w:p>
    <w:p w14:paraId="6E024118" w14:textId="18279E08" w:rsidR="00555995" w:rsidRPr="007F34C1" w:rsidRDefault="00555995" w:rsidP="00555995">
      <w:pPr>
        <w:rPr>
          <w:b/>
          <w:bCs/>
          <w:i/>
          <w:iCs/>
        </w:rPr>
      </w:pPr>
      <w:r w:rsidRPr="007F34C1">
        <w:rPr>
          <w:b/>
          <w:bCs/>
          <w:i/>
          <w:iCs/>
        </w:rPr>
        <w:t>4.3 Source of Disclosures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975"/>
      </w:tblGrid>
      <w:tr w:rsidR="00555995" w:rsidRPr="00555995" w14:paraId="7D68C4EF" w14:textId="77777777" w:rsidTr="00654CE6">
        <w:trPr>
          <w:tblHeader/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7881EB1" w14:textId="77777777" w:rsidR="00555995" w:rsidRPr="00555995" w:rsidRDefault="00555995" w:rsidP="00555995">
            <w:pPr>
              <w:rPr>
                <w:b/>
                <w:bCs/>
              </w:rPr>
            </w:pPr>
            <w:r w:rsidRPr="00555995">
              <w:rPr>
                <w:b/>
                <w:bCs/>
              </w:rPr>
              <w:t>Source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C0E5892" w14:textId="77777777" w:rsidR="00555995" w:rsidRPr="00555995" w:rsidRDefault="00555995" w:rsidP="00555995">
            <w:pPr>
              <w:rPr>
                <w:b/>
                <w:bCs/>
              </w:rPr>
            </w:pPr>
            <w:r w:rsidRPr="00555995">
              <w:rPr>
                <w:b/>
                <w:bCs/>
              </w:rPr>
              <w:t>Number</w:t>
            </w:r>
          </w:p>
        </w:tc>
      </w:tr>
      <w:tr w:rsidR="00555995" w:rsidRPr="00555995" w14:paraId="2B45E2BC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7F43E" w14:textId="77777777" w:rsidR="00555995" w:rsidRPr="00555995" w:rsidRDefault="00555995" w:rsidP="00555995">
            <w:r w:rsidRPr="00555995">
              <w:t>Employees (academic)</w:t>
            </w:r>
          </w:p>
        </w:tc>
        <w:tc>
          <w:tcPr>
            <w:tcW w:w="0" w:type="auto"/>
            <w:vAlign w:val="center"/>
            <w:hideMark/>
          </w:tcPr>
          <w:p w14:paraId="4441CC42" w14:textId="4342AE14" w:rsidR="00555995" w:rsidRPr="00555995" w:rsidRDefault="00915583" w:rsidP="00555995">
            <w:r>
              <w:t>2</w:t>
            </w:r>
          </w:p>
        </w:tc>
      </w:tr>
      <w:tr w:rsidR="00555995" w:rsidRPr="00555995" w14:paraId="1C720CD0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80935" w14:textId="77777777" w:rsidR="00555995" w:rsidRPr="00555995" w:rsidRDefault="00555995" w:rsidP="00555995">
            <w:r w:rsidRPr="00555995">
              <w:t>Employees (professional/services)</w:t>
            </w:r>
          </w:p>
        </w:tc>
        <w:tc>
          <w:tcPr>
            <w:tcW w:w="0" w:type="auto"/>
            <w:vAlign w:val="center"/>
            <w:hideMark/>
          </w:tcPr>
          <w:p w14:paraId="3C2617F6" w14:textId="6518978D" w:rsidR="00555995" w:rsidRPr="00555995" w:rsidRDefault="00915583" w:rsidP="00555995">
            <w:r>
              <w:t>0</w:t>
            </w:r>
          </w:p>
        </w:tc>
      </w:tr>
      <w:tr w:rsidR="00555995" w:rsidRPr="00555995" w14:paraId="12D9700A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2563C" w14:textId="77777777" w:rsidR="00555995" w:rsidRPr="00555995" w:rsidRDefault="00555995" w:rsidP="00555995">
            <w:r w:rsidRPr="00555995">
              <w:t>Contractors</w:t>
            </w:r>
          </w:p>
        </w:tc>
        <w:tc>
          <w:tcPr>
            <w:tcW w:w="0" w:type="auto"/>
            <w:vAlign w:val="center"/>
            <w:hideMark/>
          </w:tcPr>
          <w:p w14:paraId="7D93315B" w14:textId="211F254B" w:rsidR="00555995" w:rsidRPr="00555995" w:rsidRDefault="00555995" w:rsidP="00555995"/>
        </w:tc>
      </w:tr>
      <w:tr w:rsidR="00555995" w:rsidRPr="00555995" w14:paraId="621C9837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1645D" w14:textId="77777777" w:rsidR="00555995" w:rsidRPr="00555995" w:rsidRDefault="00555995" w:rsidP="00555995">
            <w:r w:rsidRPr="00555995">
              <w:t>Anonymous</w:t>
            </w:r>
          </w:p>
        </w:tc>
        <w:tc>
          <w:tcPr>
            <w:tcW w:w="0" w:type="auto"/>
            <w:vAlign w:val="center"/>
            <w:hideMark/>
          </w:tcPr>
          <w:p w14:paraId="76742E2E" w14:textId="5D28E915" w:rsidR="00555995" w:rsidRPr="00555995" w:rsidRDefault="00B544F2" w:rsidP="00555995">
            <w:r>
              <w:t>1</w:t>
            </w:r>
          </w:p>
        </w:tc>
      </w:tr>
    </w:tbl>
    <w:p w14:paraId="53525CBB" w14:textId="77777777" w:rsidR="00915583" w:rsidRDefault="00915583" w:rsidP="00555995">
      <w:pPr>
        <w:rPr>
          <w:b/>
          <w:bCs/>
        </w:rPr>
      </w:pPr>
    </w:p>
    <w:p w14:paraId="215AEC69" w14:textId="0119BC1D" w:rsidR="00555995" w:rsidRPr="00915583" w:rsidRDefault="00555995" w:rsidP="00555995">
      <w:pPr>
        <w:rPr>
          <w:b/>
          <w:bCs/>
          <w:u w:val="single"/>
        </w:rPr>
      </w:pPr>
      <w:r w:rsidRPr="00915583">
        <w:rPr>
          <w:b/>
          <w:bCs/>
          <w:u w:val="single"/>
        </w:rPr>
        <w:t>5. Assessment and Follow-Up</w:t>
      </w:r>
    </w:p>
    <w:p w14:paraId="382C34EA" w14:textId="77777777" w:rsidR="00555995" w:rsidRPr="00555995" w:rsidRDefault="00555995" w:rsidP="00555995">
      <w:pPr>
        <w:rPr>
          <w:b/>
          <w:bCs/>
        </w:rPr>
      </w:pPr>
      <w:r w:rsidRPr="00555995">
        <w:rPr>
          <w:b/>
          <w:bCs/>
        </w:rPr>
        <w:t>5.1 Initial Assessment</w:t>
      </w:r>
    </w:p>
    <w:p w14:paraId="12F6B466" w14:textId="77777777" w:rsidR="00555995" w:rsidRPr="00555995" w:rsidRDefault="00555995" w:rsidP="00555995">
      <w:r w:rsidRPr="00555995">
        <w:t>All disclosures received were:</w:t>
      </w:r>
    </w:p>
    <w:p w14:paraId="1D737A29" w14:textId="77777777" w:rsidR="00555995" w:rsidRPr="00555995" w:rsidRDefault="00555995" w:rsidP="00555995">
      <w:pPr>
        <w:numPr>
          <w:ilvl w:val="0"/>
          <w:numId w:val="5"/>
        </w:numPr>
      </w:pPr>
      <w:r w:rsidRPr="00555995">
        <w:t>Acknowledged within statutory timeframes</w:t>
      </w:r>
    </w:p>
    <w:p w14:paraId="722226D9" w14:textId="4E0E3C9B" w:rsidR="00555995" w:rsidRDefault="00555995" w:rsidP="00555995">
      <w:pPr>
        <w:numPr>
          <w:ilvl w:val="0"/>
          <w:numId w:val="5"/>
        </w:numPr>
      </w:pPr>
      <w:r w:rsidRPr="00555995">
        <w:t>Assessed to determine whether they met the definition of a protected disclosure</w:t>
      </w:r>
      <w:r w:rsidR="007F34C1">
        <w:t xml:space="preserve"> and withing scope of legislati</w:t>
      </w:r>
      <w:r w:rsidR="00B94070">
        <w:t>ve</w:t>
      </w:r>
      <w:r w:rsidR="007F34C1">
        <w:t xml:space="preserve"> and policy</w:t>
      </w:r>
      <w:r w:rsidR="00B94070">
        <w:t xml:space="preserve"> commitments.</w:t>
      </w:r>
    </w:p>
    <w:p w14:paraId="580A09E9" w14:textId="77777777" w:rsidR="00915583" w:rsidRPr="00555995" w:rsidRDefault="00915583" w:rsidP="00915583">
      <w:pPr>
        <w:ind w:left="720"/>
      </w:pPr>
    </w:p>
    <w:p w14:paraId="23393644" w14:textId="77777777" w:rsidR="00555995" w:rsidRPr="00555995" w:rsidRDefault="00555995" w:rsidP="00555995">
      <w:pPr>
        <w:rPr>
          <w:b/>
          <w:bCs/>
        </w:rPr>
      </w:pPr>
      <w:r w:rsidRPr="00555995">
        <w:rPr>
          <w:b/>
          <w:bCs/>
        </w:rPr>
        <w:t>5.2 Actions Taken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975"/>
      </w:tblGrid>
      <w:tr w:rsidR="00555995" w:rsidRPr="00555995" w14:paraId="2763FECE" w14:textId="77777777" w:rsidTr="00654CE6">
        <w:trPr>
          <w:tblHeader/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4E383AD" w14:textId="77777777" w:rsidR="00555995" w:rsidRPr="00555995" w:rsidRDefault="00555995" w:rsidP="00555995">
            <w:pPr>
              <w:rPr>
                <w:b/>
                <w:bCs/>
              </w:rPr>
            </w:pPr>
            <w:r w:rsidRPr="00555995">
              <w:rPr>
                <w:b/>
                <w:bCs/>
              </w:rPr>
              <w:t>Outcome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3F6DCD" w14:textId="77777777" w:rsidR="00555995" w:rsidRPr="00555995" w:rsidRDefault="00555995" w:rsidP="00555995">
            <w:pPr>
              <w:rPr>
                <w:b/>
                <w:bCs/>
              </w:rPr>
            </w:pPr>
            <w:r w:rsidRPr="00555995">
              <w:rPr>
                <w:b/>
                <w:bCs/>
              </w:rPr>
              <w:t>Number</w:t>
            </w:r>
          </w:p>
        </w:tc>
      </w:tr>
      <w:tr w:rsidR="00555995" w:rsidRPr="00555995" w14:paraId="28D67BB9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2FA8E" w14:textId="77777777" w:rsidR="00555995" w:rsidRPr="00555995" w:rsidRDefault="00555995" w:rsidP="00555995">
            <w:r w:rsidRPr="00555995">
              <w:t>Investigation initiated</w:t>
            </w:r>
          </w:p>
        </w:tc>
        <w:tc>
          <w:tcPr>
            <w:tcW w:w="0" w:type="auto"/>
            <w:vAlign w:val="center"/>
            <w:hideMark/>
          </w:tcPr>
          <w:p w14:paraId="38C2EBA2" w14:textId="1337EF10" w:rsidR="00555995" w:rsidRPr="00555995" w:rsidRDefault="00B94070" w:rsidP="00555995">
            <w:r>
              <w:t>1</w:t>
            </w:r>
          </w:p>
        </w:tc>
      </w:tr>
      <w:tr w:rsidR="00555995" w:rsidRPr="00555995" w14:paraId="12366750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521D4" w14:textId="77777777" w:rsidR="00555995" w:rsidRPr="00555995" w:rsidRDefault="00555995" w:rsidP="00555995">
            <w:r w:rsidRPr="00555995">
              <w:t>Referred internally</w:t>
            </w:r>
          </w:p>
        </w:tc>
        <w:tc>
          <w:tcPr>
            <w:tcW w:w="0" w:type="auto"/>
            <w:vAlign w:val="center"/>
            <w:hideMark/>
          </w:tcPr>
          <w:p w14:paraId="27FF8FA5" w14:textId="1611876A" w:rsidR="00555995" w:rsidRPr="00555995" w:rsidRDefault="00A279E5" w:rsidP="00555995">
            <w:r>
              <w:t>1</w:t>
            </w:r>
          </w:p>
        </w:tc>
      </w:tr>
      <w:tr w:rsidR="00555995" w:rsidRPr="00555995" w14:paraId="582E8858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62EA5" w14:textId="77777777" w:rsidR="00555995" w:rsidRPr="00555995" w:rsidRDefault="00555995" w:rsidP="00555995">
            <w:r w:rsidRPr="00555995">
              <w:t>Referred to external body</w:t>
            </w:r>
          </w:p>
        </w:tc>
        <w:tc>
          <w:tcPr>
            <w:tcW w:w="0" w:type="auto"/>
            <w:vAlign w:val="center"/>
            <w:hideMark/>
          </w:tcPr>
          <w:p w14:paraId="6FD84DD3" w14:textId="4424AF8E" w:rsidR="00555995" w:rsidRPr="00555995" w:rsidRDefault="00555995" w:rsidP="00555995"/>
        </w:tc>
      </w:tr>
      <w:tr w:rsidR="00555995" w:rsidRPr="00555995" w14:paraId="388570E8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17901" w14:textId="2AD2F00D" w:rsidR="00555995" w:rsidRPr="00555995" w:rsidRDefault="00555995" w:rsidP="00555995">
            <w:r w:rsidRPr="00555995">
              <w:t>No further action</w:t>
            </w:r>
            <w:r w:rsidR="00A279E5">
              <w:rPr>
                <w:rStyle w:val="FootnoteReference"/>
              </w:rPr>
              <w:footnoteReference w:id="2"/>
            </w:r>
            <w:r w:rsidRPr="00555995">
              <w:t xml:space="preserve"> (with reasons)</w:t>
            </w:r>
          </w:p>
        </w:tc>
        <w:tc>
          <w:tcPr>
            <w:tcW w:w="0" w:type="auto"/>
            <w:vAlign w:val="center"/>
            <w:hideMark/>
          </w:tcPr>
          <w:p w14:paraId="60FBD774" w14:textId="6CAEA199" w:rsidR="00555995" w:rsidRPr="00555995" w:rsidRDefault="00A279E5" w:rsidP="00555995">
            <w:r>
              <w:t>1</w:t>
            </w:r>
          </w:p>
        </w:tc>
      </w:tr>
      <w:tr w:rsidR="00555995" w:rsidRPr="00555995" w14:paraId="06C16CBD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9401B" w14:textId="77777777" w:rsidR="00555995" w:rsidRPr="00555995" w:rsidRDefault="00555995" w:rsidP="00555995">
            <w:r w:rsidRPr="00555995">
              <w:lastRenderedPageBreak/>
              <w:t>Ongoing at year-end</w:t>
            </w:r>
          </w:p>
        </w:tc>
        <w:tc>
          <w:tcPr>
            <w:tcW w:w="0" w:type="auto"/>
            <w:vAlign w:val="center"/>
            <w:hideMark/>
          </w:tcPr>
          <w:p w14:paraId="7F2D451D" w14:textId="0E831F87" w:rsidR="00555995" w:rsidRPr="00555995" w:rsidRDefault="0012314E" w:rsidP="00555995">
            <w:r>
              <w:t>0</w:t>
            </w:r>
          </w:p>
        </w:tc>
      </w:tr>
    </w:tbl>
    <w:p w14:paraId="5F4349C8" w14:textId="77777777" w:rsidR="00654CE6" w:rsidRDefault="00654CE6" w:rsidP="00555995">
      <w:pPr>
        <w:rPr>
          <w:b/>
          <w:bCs/>
        </w:rPr>
      </w:pPr>
    </w:p>
    <w:p w14:paraId="3EC786C4" w14:textId="033D3C69" w:rsidR="00555995" w:rsidRPr="00555995" w:rsidRDefault="00555995" w:rsidP="00555995">
      <w:pPr>
        <w:rPr>
          <w:b/>
          <w:bCs/>
        </w:rPr>
      </w:pPr>
      <w:r w:rsidRPr="00555995">
        <w:rPr>
          <w:b/>
          <w:bCs/>
        </w:rPr>
        <w:t>5.3 Outcome of Investigations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975"/>
      </w:tblGrid>
      <w:tr w:rsidR="00555995" w:rsidRPr="00555995" w14:paraId="097534CA" w14:textId="77777777" w:rsidTr="00654CE6">
        <w:trPr>
          <w:tblHeader/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054A3F6" w14:textId="77777777" w:rsidR="00555995" w:rsidRPr="00555995" w:rsidRDefault="00555995" w:rsidP="00555995">
            <w:pPr>
              <w:rPr>
                <w:b/>
                <w:bCs/>
              </w:rPr>
            </w:pPr>
            <w:r w:rsidRPr="00555995">
              <w:rPr>
                <w:b/>
                <w:bCs/>
              </w:rPr>
              <w:t>Outcome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A22F09A" w14:textId="77777777" w:rsidR="00555995" w:rsidRPr="00555995" w:rsidRDefault="00555995" w:rsidP="00555995">
            <w:pPr>
              <w:rPr>
                <w:b/>
                <w:bCs/>
              </w:rPr>
            </w:pPr>
            <w:r w:rsidRPr="00555995">
              <w:rPr>
                <w:b/>
                <w:bCs/>
              </w:rPr>
              <w:t>Number</w:t>
            </w:r>
          </w:p>
        </w:tc>
      </w:tr>
      <w:tr w:rsidR="00555995" w:rsidRPr="00555995" w14:paraId="71EB06C6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6F1FC" w14:textId="77777777" w:rsidR="00555995" w:rsidRPr="00555995" w:rsidRDefault="00555995" w:rsidP="00555995">
            <w:r w:rsidRPr="00555995">
              <w:t>Substantiated</w:t>
            </w:r>
          </w:p>
        </w:tc>
        <w:tc>
          <w:tcPr>
            <w:tcW w:w="0" w:type="auto"/>
            <w:vAlign w:val="center"/>
            <w:hideMark/>
          </w:tcPr>
          <w:p w14:paraId="1E2E5120" w14:textId="575D2C6C" w:rsidR="00555995" w:rsidRPr="00555995" w:rsidRDefault="0012314E" w:rsidP="00555995">
            <w:r>
              <w:t>0</w:t>
            </w:r>
          </w:p>
        </w:tc>
      </w:tr>
      <w:tr w:rsidR="00555995" w:rsidRPr="00555995" w14:paraId="7FCB7008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FC513" w14:textId="77777777" w:rsidR="00555995" w:rsidRPr="00555995" w:rsidRDefault="00555995" w:rsidP="00555995">
            <w:r w:rsidRPr="00555995">
              <w:t>Partially substantiated</w:t>
            </w:r>
          </w:p>
        </w:tc>
        <w:tc>
          <w:tcPr>
            <w:tcW w:w="0" w:type="auto"/>
            <w:vAlign w:val="center"/>
            <w:hideMark/>
          </w:tcPr>
          <w:p w14:paraId="3AE86084" w14:textId="2C7E15C9" w:rsidR="00555995" w:rsidRPr="00555995" w:rsidRDefault="0012314E" w:rsidP="00555995">
            <w:r>
              <w:t>0</w:t>
            </w:r>
          </w:p>
        </w:tc>
      </w:tr>
      <w:tr w:rsidR="00555995" w:rsidRPr="00555995" w14:paraId="433AFC61" w14:textId="77777777" w:rsidTr="00654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5D912" w14:textId="77777777" w:rsidR="00555995" w:rsidRPr="00555995" w:rsidRDefault="00555995" w:rsidP="00555995">
            <w:r w:rsidRPr="00555995">
              <w:t>Unsubstantiated</w:t>
            </w:r>
          </w:p>
        </w:tc>
        <w:tc>
          <w:tcPr>
            <w:tcW w:w="0" w:type="auto"/>
            <w:vAlign w:val="center"/>
            <w:hideMark/>
          </w:tcPr>
          <w:p w14:paraId="21B54C40" w14:textId="236082A1" w:rsidR="00555995" w:rsidRPr="00555995" w:rsidRDefault="00654CE6" w:rsidP="00555995">
            <w:r>
              <w:t>2</w:t>
            </w:r>
          </w:p>
        </w:tc>
      </w:tr>
    </w:tbl>
    <w:p w14:paraId="3F47F08B" w14:textId="77777777" w:rsidR="00654CE6" w:rsidRDefault="00654CE6" w:rsidP="00555995">
      <w:pPr>
        <w:rPr>
          <w:b/>
          <w:bCs/>
        </w:rPr>
      </w:pPr>
    </w:p>
    <w:p w14:paraId="36E34073" w14:textId="77777777" w:rsidR="00DD1178" w:rsidRDefault="00DD1178" w:rsidP="00555995">
      <w:pPr>
        <w:rPr>
          <w:b/>
          <w:bCs/>
        </w:rPr>
      </w:pPr>
    </w:p>
    <w:p w14:paraId="5FAE9150" w14:textId="53820D60" w:rsidR="00555995" w:rsidRPr="007F34C1" w:rsidRDefault="00555995" w:rsidP="00555995">
      <w:pPr>
        <w:rPr>
          <w:b/>
          <w:bCs/>
          <w:u w:val="single"/>
        </w:rPr>
      </w:pPr>
      <w:r w:rsidRPr="007F34C1">
        <w:rPr>
          <w:b/>
          <w:bCs/>
          <w:u w:val="single"/>
        </w:rPr>
        <w:t>6. Timeframes and Compliance</w:t>
      </w:r>
    </w:p>
    <w:p w14:paraId="5612A430" w14:textId="17A45C7E" w:rsidR="00555995" w:rsidRPr="00555995" w:rsidRDefault="00CB45B7" w:rsidP="00CB45B7">
      <w:pPr>
        <w:numPr>
          <w:ilvl w:val="0"/>
          <w:numId w:val="6"/>
        </w:numPr>
      </w:pPr>
      <w:r>
        <w:t>2 of 3</w:t>
      </w:r>
      <w:r w:rsidR="00555995" w:rsidRPr="00555995">
        <w:t xml:space="preserve"> acknowledged within 7 days</w:t>
      </w:r>
    </w:p>
    <w:p w14:paraId="2431AF2A" w14:textId="270C104A" w:rsidR="00555995" w:rsidRPr="00555995" w:rsidRDefault="00555995" w:rsidP="00555995">
      <w:r w:rsidRPr="00555995">
        <w:t>Challenges:</w:t>
      </w:r>
    </w:p>
    <w:p w14:paraId="6C004378" w14:textId="511E353E" w:rsidR="007F34C1" w:rsidRDefault="00CB45B7" w:rsidP="007F34C1">
      <w:pPr>
        <w:pStyle w:val="ListParagraph"/>
        <w:numPr>
          <w:ilvl w:val="0"/>
          <w:numId w:val="15"/>
        </w:numPr>
      </w:pPr>
      <w:r>
        <w:t xml:space="preserve">Unable to provide feedback on one disclosure due to anonymous nature. </w:t>
      </w:r>
    </w:p>
    <w:p w14:paraId="21199D0D" w14:textId="125F5D91" w:rsidR="00555995" w:rsidRPr="00555995" w:rsidRDefault="00CB45B7" w:rsidP="007F34C1">
      <w:pPr>
        <w:pStyle w:val="ListParagraph"/>
        <w:numPr>
          <w:ilvl w:val="0"/>
          <w:numId w:val="15"/>
        </w:numPr>
      </w:pPr>
      <w:r>
        <w:t>One of the matters raised as a disclosure is not under investigation under the Protected Disclosures Policy as it is currently being investigated under</w:t>
      </w:r>
      <w:r w:rsidR="0093182E">
        <w:t xml:space="preserve"> a se</w:t>
      </w:r>
      <w:r w:rsidR="00DD1178">
        <w:t>parate policy.</w:t>
      </w:r>
    </w:p>
    <w:p w14:paraId="2EF67DA4" w14:textId="77777777" w:rsidR="00654CE6" w:rsidRDefault="00654CE6" w:rsidP="00555995">
      <w:pPr>
        <w:rPr>
          <w:b/>
          <w:bCs/>
        </w:rPr>
      </w:pPr>
    </w:p>
    <w:p w14:paraId="0AC0A15E" w14:textId="77777777" w:rsidR="00DD1178" w:rsidRDefault="00DD1178" w:rsidP="00555995">
      <w:pPr>
        <w:rPr>
          <w:b/>
          <w:bCs/>
        </w:rPr>
      </w:pPr>
    </w:p>
    <w:p w14:paraId="264C3AFA" w14:textId="00CF6230" w:rsidR="00555995" w:rsidRPr="007F34C1" w:rsidRDefault="00555995" w:rsidP="00555995">
      <w:pPr>
        <w:rPr>
          <w:b/>
          <w:bCs/>
          <w:u w:val="single"/>
        </w:rPr>
      </w:pPr>
      <w:r w:rsidRPr="007F34C1">
        <w:rPr>
          <w:b/>
          <w:bCs/>
          <w:u w:val="single"/>
        </w:rPr>
        <w:t>7. Protection of Reporting Persons</w:t>
      </w:r>
    </w:p>
    <w:p w14:paraId="557F42E4" w14:textId="77777777" w:rsidR="00555995" w:rsidRPr="00555995" w:rsidRDefault="00555995" w:rsidP="00555995">
      <w:r w:rsidRPr="00555995">
        <w:t>The University:</w:t>
      </w:r>
    </w:p>
    <w:p w14:paraId="0E35F5E7" w14:textId="77777777" w:rsidR="00555995" w:rsidRPr="00555995" w:rsidRDefault="00555995" w:rsidP="00555995">
      <w:pPr>
        <w:numPr>
          <w:ilvl w:val="0"/>
          <w:numId w:val="8"/>
        </w:numPr>
      </w:pPr>
      <w:r w:rsidRPr="00555995">
        <w:t>Prohibits penalisation of reporting persons</w:t>
      </w:r>
    </w:p>
    <w:p w14:paraId="472766ED" w14:textId="77777777" w:rsidR="00555995" w:rsidRPr="00555995" w:rsidRDefault="00555995" w:rsidP="00555995">
      <w:pPr>
        <w:numPr>
          <w:ilvl w:val="0"/>
          <w:numId w:val="8"/>
        </w:numPr>
      </w:pPr>
      <w:r w:rsidRPr="00555995">
        <w:t>Provides supports where required</w:t>
      </w:r>
    </w:p>
    <w:p w14:paraId="4DA45AED" w14:textId="77777777" w:rsidR="00555995" w:rsidRPr="00555995" w:rsidRDefault="00555995" w:rsidP="00555995">
      <w:pPr>
        <w:numPr>
          <w:ilvl w:val="0"/>
          <w:numId w:val="8"/>
        </w:numPr>
      </w:pPr>
      <w:r w:rsidRPr="00555995">
        <w:t>Maintains confidentiality in line with legislation</w:t>
      </w:r>
    </w:p>
    <w:p w14:paraId="35412538" w14:textId="007367E3" w:rsidR="00555995" w:rsidRDefault="00555995" w:rsidP="00555995"/>
    <w:p w14:paraId="0608CD6A" w14:textId="77777777" w:rsidR="0012314E" w:rsidRDefault="0012314E" w:rsidP="00555995"/>
    <w:p w14:paraId="613CB37E" w14:textId="77777777" w:rsidR="0012314E" w:rsidRDefault="0012314E" w:rsidP="00555995"/>
    <w:p w14:paraId="33FED7B7" w14:textId="77777777" w:rsidR="00A279E5" w:rsidRDefault="00A279E5" w:rsidP="00555995"/>
    <w:p w14:paraId="18DBB943" w14:textId="77777777" w:rsidR="00555995" w:rsidRPr="007F34C1" w:rsidRDefault="00555995" w:rsidP="00555995">
      <w:pPr>
        <w:rPr>
          <w:b/>
          <w:bCs/>
          <w:u w:val="single"/>
        </w:rPr>
      </w:pPr>
      <w:r w:rsidRPr="007F34C1">
        <w:rPr>
          <w:b/>
          <w:bCs/>
          <w:u w:val="single"/>
        </w:rPr>
        <w:lastRenderedPageBreak/>
        <w:t>8. Learning and Improvements</w:t>
      </w:r>
    </w:p>
    <w:p w14:paraId="61A27D56" w14:textId="77777777" w:rsidR="00093F99" w:rsidRDefault="007736BC" w:rsidP="00555995">
      <w:r>
        <w:t xml:space="preserve">There is a need for training and awareness raising in relation to the process for reporting Protected Disclosures. </w:t>
      </w:r>
      <w:r w:rsidR="00AA2D96">
        <w:t>The policy should be amended to ensure there is greater detail and c</w:t>
      </w:r>
      <w:r>
        <w:t xml:space="preserve">larification </w:t>
      </w:r>
      <w:r w:rsidR="00AA2D96">
        <w:t>in relation to</w:t>
      </w:r>
      <w:r>
        <w:t xml:space="preserve"> the recording and retention of records </w:t>
      </w:r>
      <w:r w:rsidR="00AA2D96">
        <w:t xml:space="preserve">under the policy. These actions will be prioritised </w:t>
      </w:r>
      <w:r w:rsidR="00093F99">
        <w:t>in the academic year 2026-2027.</w:t>
      </w:r>
    </w:p>
    <w:p w14:paraId="46434266" w14:textId="77777777" w:rsidR="00A279E5" w:rsidRDefault="00A279E5" w:rsidP="00555995"/>
    <w:p w14:paraId="0F6F5265" w14:textId="563253B7" w:rsidR="00555995" w:rsidRPr="007F34C1" w:rsidRDefault="00093F99" w:rsidP="00555995">
      <w:pPr>
        <w:rPr>
          <w:b/>
          <w:bCs/>
          <w:u w:val="single"/>
        </w:rPr>
      </w:pPr>
      <w:r w:rsidRPr="007F34C1">
        <w:rPr>
          <w:b/>
          <w:bCs/>
          <w:u w:val="single"/>
        </w:rPr>
        <w:t>9</w:t>
      </w:r>
      <w:r w:rsidR="00555995" w:rsidRPr="007F34C1">
        <w:rPr>
          <w:b/>
          <w:bCs/>
          <w:u w:val="single"/>
        </w:rPr>
        <w:t>. Governance and Oversight</w:t>
      </w:r>
    </w:p>
    <w:p w14:paraId="447C4AC4" w14:textId="6562FE94" w:rsidR="00555995" w:rsidRPr="00555995" w:rsidRDefault="00555995" w:rsidP="00DD1178">
      <w:pPr>
        <w:tabs>
          <w:tab w:val="num" w:pos="720"/>
        </w:tabs>
      </w:pPr>
      <w:r w:rsidRPr="00555995">
        <w:t xml:space="preserve">Oversight </w:t>
      </w:r>
      <w:r w:rsidR="00DD1178">
        <w:t xml:space="preserve">is </w:t>
      </w:r>
      <w:r w:rsidRPr="00555995">
        <w:t>provided by</w:t>
      </w:r>
      <w:r w:rsidR="00DD1178">
        <w:t xml:space="preserve"> the U</w:t>
      </w:r>
      <w:r w:rsidR="00CB45B7">
        <w:t>niversity Management Team and EDIHRC subcommittee of</w:t>
      </w:r>
      <w:r w:rsidRPr="00555995">
        <w:t xml:space="preserve"> Governing Authority</w:t>
      </w:r>
      <w:r w:rsidR="00DD1178">
        <w:t>. Additional a</w:t>
      </w:r>
      <w:r w:rsidRPr="00555995">
        <w:t>ssurance activities</w:t>
      </w:r>
      <w:r w:rsidR="00093F99">
        <w:t xml:space="preserve"> in 2026</w:t>
      </w:r>
      <w:r w:rsidRPr="00555995">
        <w:t xml:space="preserve"> included</w:t>
      </w:r>
      <w:r w:rsidR="00AA6B1A">
        <w:t xml:space="preserve"> an</w:t>
      </w:r>
      <w:r w:rsidR="00DD1178">
        <w:t xml:space="preserve"> i</w:t>
      </w:r>
      <w:r w:rsidRPr="00555995">
        <w:t xml:space="preserve">nternal audit </w:t>
      </w:r>
      <w:r w:rsidR="00E07EFA">
        <w:t>of protected disclosures</w:t>
      </w:r>
      <w:r w:rsidR="00AA6B1A">
        <w:t xml:space="preserve"> (awaiting final report)</w:t>
      </w:r>
      <w:r w:rsidR="00E07EFA">
        <w:t>.</w:t>
      </w:r>
    </w:p>
    <w:sectPr w:rsidR="00555995" w:rsidRPr="0055599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EF71" w14:textId="77777777" w:rsidR="001E355E" w:rsidRDefault="001E355E" w:rsidP="005375F0">
      <w:pPr>
        <w:spacing w:after="0" w:line="240" w:lineRule="auto"/>
      </w:pPr>
      <w:r>
        <w:separator/>
      </w:r>
    </w:p>
  </w:endnote>
  <w:endnote w:type="continuationSeparator" w:id="0">
    <w:p w14:paraId="3C167E4F" w14:textId="77777777" w:rsidR="001E355E" w:rsidRDefault="001E355E" w:rsidP="0053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90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6097F" w14:textId="41F2344C" w:rsidR="00CD642B" w:rsidRDefault="00CD64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DCA0C3" w14:textId="77777777" w:rsidR="00CD642B" w:rsidRDefault="00CD6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3E61" w14:textId="77777777" w:rsidR="001E355E" w:rsidRDefault="001E355E" w:rsidP="005375F0">
      <w:pPr>
        <w:spacing w:after="0" w:line="240" w:lineRule="auto"/>
      </w:pPr>
      <w:r>
        <w:separator/>
      </w:r>
    </w:p>
  </w:footnote>
  <w:footnote w:type="continuationSeparator" w:id="0">
    <w:p w14:paraId="1CF5463C" w14:textId="77777777" w:rsidR="001E355E" w:rsidRDefault="001E355E" w:rsidP="005375F0">
      <w:pPr>
        <w:spacing w:after="0" w:line="240" w:lineRule="auto"/>
      </w:pPr>
      <w:r>
        <w:continuationSeparator/>
      </w:r>
    </w:p>
  </w:footnote>
  <w:footnote w:id="1">
    <w:p w14:paraId="6381E04E" w14:textId="77777777" w:rsidR="005375F0" w:rsidRDefault="005375F0" w:rsidP="005375F0">
      <w:r>
        <w:rPr>
          <w:rStyle w:val="FootnoteReference"/>
        </w:rPr>
        <w:footnoteRef/>
      </w:r>
      <w:r>
        <w:t xml:space="preserve"> </w:t>
      </w:r>
      <w:r w:rsidRPr="005375F0">
        <w:rPr>
          <w:sz w:val="20"/>
          <w:szCs w:val="20"/>
        </w:rPr>
        <w:t xml:space="preserve">A </w:t>
      </w:r>
      <w:r w:rsidRPr="005375F0">
        <w:rPr>
          <w:i/>
          <w:iCs/>
          <w:sz w:val="20"/>
          <w:szCs w:val="20"/>
        </w:rPr>
        <w:t>protected disclosure</w:t>
      </w:r>
      <w:r w:rsidRPr="005375F0">
        <w:rPr>
          <w:sz w:val="20"/>
          <w:szCs w:val="20"/>
        </w:rPr>
        <w:t xml:space="preserve"> is a report of relevant wrongdoing made by a worker in the manner specified in the legislation.</w:t>
      </w:r>
    </w:p>
    <w:p w14:paraId="1EE311B5" w14:textId="0887048E" w:rsidR="005375F0" w:rsidRDefault="005375F0">
      <w:pPr>
        <w:pStyle w:val="FootnoteText"/>
      </w:pPr>
    </w:p>
  </w:footnote>
  <w:footnote w:id="2">
    <w:p w14:paraId="794FE482" w14:textId="2F977DC9" w:rsidR="00A279E5" w:rsidRDefault="00A279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E291E">
        <w:t>There is no further action in the immediate regarding o</w:t>
      </w:r>
      <w:r>
        <w:t>ne of the disclosures</w:t>
      </w:r>
      <w:r w:rsidR="00DE291E">
        <w:t>. The rationale is that this matter</w:t>
      </w:r>
      <w:r>
        <w:t xml:space="preserve"> is </w:t>
      </w:r>
      <w:r w:rsidR="00DE291E">
        <w:t xml:space="preserve">currently </w:t>
      </w:r>
      <w:r>
        <w:t>being investigated under a separate policy</w:t>
      </w:r>
      <w:r w:rsidR="00DE291E">
        <w:t>. T</w:t>
      </w:r>
      <w:r>
        <w:t>herefore</w:t>
      </w:r>
      <w:r w:rsidR="001C007B">
        <w:t>,</w:t>
      </w:r>
      <w:r>
        <w:t xml:space="preserve"> the outcome of th</w:t>
      </w:r>
      <w:r w:rsidR="00DE291E">
        <w:t>at investigation</w:t>
      </w:r>
      <w:r>
        <w:t xml:space="preserve"> will determine the necessity or otherwise of further action under the Protected Disclosures policy.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CBD"/>
    <w:multiLevelType w:val="multilevel"/>
    <w:tmpl w:val="862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F038B"/>
    <w:multiLevelType w:val="multilevel"/>
    <w:tmpl w:val="4FC0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B11EE"/>
    <w:multiLevelType w:val="multilevel"/>
    <w:tmpl w:val="F8C4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71C01"/>
    <w:multiLevelType w:val="multilevel"/>
    <w:tmpl w:val="F1EE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563F6"/>
    <w:multiLevelType w:val="multilevel"/>
    <w:tmpl w:val="2C6E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E5F5B"/>
    <w:multiLevelType w:val="multilevel"/>
    <w:tmpl w:val="C0FC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8159E"/>
    <w:multiLevelType w:val="hybridMultilevel"/>
    <w:tmpl w:val="E788EB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667A5"/>
    <w:multiLevelType w:val="multilevel"/>
    <w:tmpl w:val="D4FE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F4F87"/>
    <w:multiLevelType w:val="multilevel"/>
    <w:tmpl w:val="53F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024F3"/>
    <w:multiLevelType w:val="multilevel"/>
    <w:tmpl w:val="636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46E27"/>
    <w:multiLevelType w:val="multilevel"/>
    <w:tmpl w:val="361C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32F08"/>
    <w:multiLevelType w:val="multilevel"/>
    <w:tmpl w:val="059C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A45E2"/>
    <w:multiLevelType w:val="multilevel"/>
    <w:tmpl w:val="5AF4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57756"/>
    <w:multiLevelType w:val="hybridMultilevel"/>
    <w:tmpl w:val="C7DAB0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A7F5B"/>
    <w:multiLevelType w:val="multilevel"/>
    <w:tmpl w:val="34B4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481926">
    <w:abstractNumId w:val="14"/>
  </w:num>
  <w:num w:numId="2" w16cid:durableId="86192019">
    <w:abstractNumId w:val="11"/>
  </w:num>
  <w:num w:numId="3" w16cid:durableId="207030087">
    <w:abstractNumId w:val="9"/>
  </w:num>
  <w:num w:numId="4" w16cid:durableId="1152982816">
    <w:abstractNumId w:val="12"/>
  </w:num>
  <w:num w:numId="5" w16cid:durableId="657268664">
    <w:abstractNumId w:val="3"/>
  </w:num>
  <w:num w:numId="6" w16cid:durableId="539781505">
    <w:abstractNumId w:val="5"/>
  </w:num>
  <w:num w:numId="7" w16cid:durableId="1501656437">
    <w:abstractNumId w:val="7"/>
  </w:num>
  <w:num w:numId="8" w16cid:durableId="1363552630">
    <w:abstractNumId w:val="4"/>
  </w:num>
  <w:num w:numId="9" w16cid:durableId="204566589">
    <w:abstractNumId w:val="10"/>
  </w:num>
  <w:num w:numId="10" w16cid:durableId="969432510">
    <w:abstractNumId w:val="2"/>
  </w:num>
  <w:num w:numId="11" w16cid:durableId="1564679659">
    <w:abstractNumId w:val="0"/>
  </w:num>
  <w:num w:numId="12" w16cid:durableId="1912081743">
    <w:abstractNumId w:val="1"/>
  </w:num>
  <w:num w:numId="13" w16cid:durableId="1831360186">
    <w:abstractNumId w:val="8"/>
  </w:num>
  <w:num w:numId="14" w16cid:durableId="1393310569">
    <w:abstractNumId w:val="13"/>
  </w:num>
  <w:num w:numId="15" w16cid:durableId="2045983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95"/>
    <w:rsid w:val="00093F99"/>
    <w:rsid w:val="000B76FC"/>
    <w:rsid w:val="0012314E"/>
    <w:rsid w:val="001C007B"/>
    <w:rsid w:val="001C71BA"/>
    <w:rsid w:val="001E355E"/>
    <w:rsid w:val="002A1D3F"/>
    <w:rsid w:val="00473873"/>
    <w:rsid w:val="004800AF"/>
    <w:rsid w:val="00492FB3"/>
    <w:rsid w:val="005375F0"/>
    <w:rsid w:val="005404D4"/>
    <w:rsid w:val="00555995"/>
    <w:rsid w:val="005B43C9"/>
    <w:rsid w:val="00654CE6"/>
    <w:rsid w:val="007736BC"/>
    <w:rsid w:val="007925BA"/>
    <w:rsid w:val="007F34C1"/>
    <w:rsid w:val="00833B57"/>
    <w:rsid w:val="008A3A75"/>
    <w:rsid w:val="008A7DB6"/>
    <w:rsid w:val="008C2AC3"/>
    <w:rsid w:val="00915583"/>
    <w:rsid w:val="0093182E"/>
    <w:rsid w:val="00A279E5"/>
    <w:rsid w:val="00A81F83"/>
    <w:rsid w:val="00AA2D96"/>
    <w:rsid w:val="00AA6B1A"/>
    <w:rsid w:val="00B1650A"/>
    <w:rsid w:val="00B544F2"/>
    <w:rsid w:val="00B94070"/>
    <w:rsid w:val="00BB173B"/>
    <w:rsid w:val="00C46DB7"/>
    <w:rsid w:val="00C86D49"/>
    <w:rsid w:val="00CB45B7"/>
    <w:rsid w:val="00CD642B"/>
    <w:rsid w:val="00DA4F14"/>
    <w:rsid w:val="00DD1178"/>
    <w:rsid w:val="00DE291E"/>
    <w:rsid w:val="00E07EFA"/>
    <w:rsid w:val="00E4566D"/>
    <w:rsid w:val="00F7104E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33A7"/>
  <w15:chartTrackingRefBased/>
  <w15:docId w15:val="{04C12AE4-33BE-4F23-8046-D681199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9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1F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F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75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75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75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42B"/>
  </w:style>
  <w:style w:type="paragraph" w:styleId="Footer">
    <w:name w:val="footer"/>
    <w:basedOn w:val="Normal"/>
    <w:link w:val="FooterChar"/>
    <w:uiPriority w:val="99"/>
    <w:unhideWhenUsed/>
    <w:rsid w:val="00CD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universityofgalway.ie/equalityanddiversity/protecteddisclosu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versityofgalway.ie/media/equality/ovpedi/files/Protected-Disclosures-Policy-Final-February-2024-b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704BF5AAD9E46BBBA2C7E5D17EB0D" ma:contentTypeVersion="19" ma:contentTypeDescription="Create a new document." ma:contentTypeScope="" ma:versionID="bfdc981917c7d83fcef044b31a4532e3">
  <xsd:schema xmlns:xsd="http://www.w3.org/2001/XMLSchema" xmlns:xs="http://www.w3.org/2001/XMLSchema" xmlns:p="http://schemas.microsoft.com/office/2006/metadata/properties" xmlns:ns2="89dc4b8d-e4c5-435c-bc43-4c714475bbbf" xmlns:ns3="4666dce3-2ee0-4c14-9800-89637b5dd4e8" targetNamespace="http://schemas.microsoft.com/office/2006/metadata/properties" ma:root="true" ma:fieldsID="a3a2339ac8fb98a943ac9e520b8e99be" ns2:_="" ns3:_="">
    <xsd:import namespace="89dc4b8d-e4c5-435c-bc43-4c714475bbbf"/>
    <xsd:import namespace="4666dce3-2ee0-4c14-9800-89637b5dd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c4b8d-e4c5-435c-bc43-4c714475b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6dce3-2ee0-4c14-9800-89637b5dd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4e28cd-73d7-4ca8-a7c6-d202e27a3f9e}" ma:internalName="TaxCatchAll" ma:showField="CatchAllData" ma:web="4666dce3-2ee0-4c14-9800-89637b5dd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dc4b8d-e4c5-435c-bc43-4c714475bbbf">
      <Terms xmlns="http://schemas.microsoft.com/office/infopath/2007/PartnerControls"/>
    </lcf76f155ced4ddcb4097134ff3c332f>
    <TaxCatchAll xmlns="4666dce3-2ee0-4c14-9800-89637b5dd4e8" xsi:nil="true"/>
  </documentManagement>
</p:properties>
</file>

<file path=customXml/itemProps1.xml><?xml version="1.0" encoding="utf-8"?>
<ds:datastoreItem xmlns:ds="http://schemas.openxmlformats.org/officeDocument/2006/customXml" ds:itemID="{4EC54425-B07F-4ED9-A6B0-EF0132517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CF1F3-95B4-4F29-A851-30F34449632E}"/>
</file>

<file path=customXml/itemProps3.xml><?xml version="1.0" encoding="utf-8"?>
<ds:datastoreItem xmlns:ds="http://schemas.openxmlformats.org/officeDocument/2006/customXml" ds:itemID="{5F9EE9D2-9BC1-4A25-B72B-39763C4B2DD3}"/>
</file>

<file path=customXml/itemProps4.xml><?xml version="1.0" encoding="utf-8"?>
<ds:datastoreItem xmlns:ds="http://schemas.openxmlformats.org/officeDocument/2006/customXml" ds:itemID="{7ED4315C-96C4-477C-95B1-2F5C12E01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Helen</dc:creator>
  <cp:keywords/>
  <dc:description/>
  <cp:lastModifiedBy>Maher, Helen</cp:lastModifiedBy>
  <cp:revision>2</cp:revision>
  <dcterms:created xsi:type="dcterms:W3CDTF">2026-06-18T07:57:00Z</dcterms:created>
  <dcterms:modified xsi:type="dcterms:W3CDTF">2026-06-18T07:57:00Z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0x01010052E704BF5AAD9E46BBBA2C7E5D17EB0D</vt:lpwstr>
  </property>
</Properties>
</file>