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9D" w:rsidRPr="00F0659D" w:rsidRDefault="00096A13" w:rsidP="00096A13">
      <w:pPr>
        <w:kinsoku w:val="0"/>
        <w:overflowPunct w:val="0"/>
        <w:contextualSpacing/>
        <w:textAlignment w:val="baseline"/>
        <w:rPr>
          <w:rFonts w:asciiTheme="majorHAnsi" w:eastAsia="Times New Roman" w:hAnsiTheme="majorHAnsi" w:cs="Times New Roman"/>
          <w:color w:val="17365D" w:themeColor="text2" w:themeShade="BF"/>
          <w:lang w:val="en-IE" w:eastAsia="en-IE"/>
        </w:rPr>
      </w:pPr>
      <w:r w:rsidRPr="00096A13">
        <w:rPr>
          <w:rFonts w:asciiTheme="majorHAnsi" w:eastAsiaTheme="minorEastAsia" w:hAnsiTheme="majorHAnsi"/>
          <w:b/>
          <w:bCs/>
          <w:color w:val="17365D" w:themeColor="text2" w:themeShade="BF"/>
          <w:lang w:val="en-IE" w:eastAsia="en-IE"/>
        </w:rPr>
        <w:t xml:space="preserve">A </w:t>
      </w:r>
      <w:r w:rsidR="00F0659D" w:rsidRPr="00F0659D">
        <w:rPr>
          <w:rFonts w:asciiTheme="majorHAnsi" w:eastAsiaTheme="minorEastAsia" w:hAnsiTheme="majorHAnsi"/>
          <w:b/>
          <w:bCs/>
          <w:color w:val="17365D" w:themeColor="text2" w:themeShade="BF"/>
          <w:sz w:val="28"/>
          <w:szCs w:val="28"/>
          <w:lang w:val="en-IE" w:eastAsia="en-IE"/>
        </w:rPr>
        <w:t xml:space="preserve">Hazard </w:t>
      </w:r>
      <w:r w:rsidRPr="00096A13">
        <w:rPr>
          <w:rFonts w:asciiTheme="majorHAnsi" w:eastAsiaTheme="minorEastAsia" w:hAnsiTheme="majorHAnsi"/>
          <w:b/>
          <w:bCs/>
          <w:color w:val="17365D" w:themeColor="text2" w:themeShade="BF"/>
          <w:lang w:val="en-IE" w:eastAsia="en-IE"/>
        </w:rPr>
        <w:t>is</w:t>
      </w:r>
      <w:r w:rsidR="00F0659D" w:rsidRPr="00F0659D">
        <w:rPr>
          <w:rFonts w:asciiTheme="majorHAnsi" w:eastAsiaTheme="minorEastAsia" w:hAnsiTheme="majorHAnsi"/>
          <w:b/>
          <w:bCs/>
          <w:color w:val="17365D" w:themeColor="text2" w:themeShade="BF"/>
          <w:lang w:val="en-IE" w:eastAsia="en-IE"/>
        </w:rPr>
        <w:t xml:space="preserve"> any thing, any substance, any activity that could cause harm</w:t>
      </w:r>
      <w:r w:rsidR="001F0A45">
        <w:rPr>
          <w:rFonts w:asciiTheme="majorHAnsi" w:eastAsiaTheme="minorEastAsia" w:hAnsiTheme="majorHAnsi"/>
          <w:b/>
          <w:bCs/>
          <w:color w:val="17365D" w:themeColor="text2" w:themeShade="BF"/>
          <w:lang w:val="en-IE" w:eastAsia="en-IE"/>
        </w:rPr>
        <w:t>.</w:t>
      </w:r>
      <w:bookmarkStart w:id="0" w:name="_GoBack"/>
      <w:bookmarkEnd w:id="0"/>
    </w:p>
    <w:p w:rsidR="00096A13" w:rsidRPr="00096A13" w:rsidRDefault="00096A13" w:rsidP="00096A13">
      <w:pPr>
        <w:kinsoku w:val="0"/>
        <w:overflowPunct w:val="0"/>
        <w:contextualSpacing/>
        <w:textAlignment w:val="baseline"/>
        <w:rPr>
          <w:rFonts w:asciiTheme="majorHAnsi" w:eastAsiaTheme="minorEastAsia" w:hAnsiTheme="majorHAnsi"/>
          <w:b/>
          <w:bCs/>
          <w:color w:val="17365D" w:themeColor="text2" w:themeShade="BF"/>
          <w:lang w:val="en-IE" w:eastAsia="en-IE"/>
        </w:rPr>
      </w:pPr>
    </w:p>
    <w:p w:rsidR="00F0659D" w:rsidRPr="00F0659D" w:rsidRDefault="00F0659D" w:rsidP="00096A13">
      <w:pPr>
        <w:kinsoku w:val="0"/>
        <w:overflowPunct w:val="0"/>
        <w:contextualSpacing/>
        <w:textAlignment w:val="baseline"/>
        <w:rPr>
          <w:rFonts w:asciiTheme="majorHAnsi" w:eastAsia="Times New Roman" w:hAnsiTheme="majorHAnsi" w:cs="Times New Roman"/>
          <w:color w:val="17365D" w:themeColor="text2" w:themeShade="BF"/>
          <w:lang w:val="en-IE" w:eastAsia="en-IE"/>
        </w:rPr>
      </w:pPr>
      <w:r w:rsidRPr="00F0659D">
        <w:rPr>
          <w:rFonts w:asciiTheme="majorHAnsi" w:eastAsiaTheme="minorEastAsia" w:hAnsiTheme="majorHAnsi"/>
          <w:b/>
          <w:bCs/>
          <w:color w:val="17365D" w:themeColor="text2" w:themeShade="BF"/>
          <w:sz w:val="28"/>
          <w:szCs w:val="28"/>
          <w:lang w:val="en-IE" w:eastAsia="en-IE"/>
        </w:rPr>
        <w:t>Risk assessment</w:t>
      </w:r>
      <w:r w:rsidRPr="00F0659D">
        <w:rPr>
          <w:rFonts w:asciiTheme="majorHAnsi" w:eastAsiaTheme="minorEastAsia" w:hAnsiTheme="majorHAnsi"/>
          <w:b/>
          <w:bCs/>
          <w:color w:val="17365D" w:themeColor="text2" w:themeShade="BF"/>
          <w:lang w:val="en-IE" w:eastAsia="en-IE"/>
        </w:rPr>
        <w:t xml:space="preserve"> </w:t>
      </w:r>
      <w:r w:rsidR="00096A13" w:rsidRPr="00096A13">
        <w:rPr>
          <w:rFonts w:asciiTheme="majorHAnsi" w:eastAsiaTheme="minorEastAsia" w:hAnsiTheme="majorHAnsi"/>
          <w:b/>
          <w:bCs/>
          <w:color w:val="17365D" w:themeColor="text2" w:themeShade="BF"/>
          <w:lang w:val="en-IE" w:eastAsia="en-IE"/>
        </w:rPr>
        <w:t>is</w:t>
      </w:r>
      <w:r w:rsidRPr="00F0659D">
        <w:rPr>
          <w:rFonts w:asciiTheme="majorHAnsi" w:eastAsiaTheme="minorEastAsia" w:hAnsiTheme="majorHAnsi"/>
          <w:b/>
          <w:bCs/>
          <w:color w:val="17365D" w:themeColor="text2" w:themeShade="BF"/>
          <w:lang w:val="en-IE" w:eastAsia="en-IE"/>
        </w:rPr>
        <w:t xml:space="preserve"> a combination of the likelihood that someone will be hurt and the severity of the injury or ill health</w:t>
      </w:r>
      <w:r w:rsidR="001F0A45">
        <w:rPr>
          <w:rFonts w:asciiTheme="majorHAnsi" w:eastAsiaTheme="minorEastAsia" w:hAnsiTheme="majorHAnsi"/>
          <w:b/>
          <w:bCs/>
          <w:color w:val="17365D" w:themeColor="text2" w:themeShade="BF"/>
          <w:lang w:val="en-IE" w:eastAsia="en-IE"/>
        </w:rPr>
        <w:t>.</w:t>
      </w:r>
    </w:p>
    <w:p w:rsidR="00096A13" w:rsidRPr="0099442B" w:rsidRDefault="00096A13" w:rsidP="00F0659D">
      <w:pPr>
        <w:kinsoku w:val="0"/>
        <w:overflowPunct w:val="0"/>
        <w:contextualSpacing/>
        <w:textAlignment w:val="baseline"/>
        <w:rPr>
          <w:rFonts w:asciiTheme="majorHAnsi" w:eastAsiaTheme="minorEastAsia" w:hAnsiTheme="majorHAnsi"/>
          <w:b/>
          <w:bCs/>
          <w:color w:val="000066"/>
          <w:sz w:val="16"/>
          <w:szCs w:val="16"/>
          <w:lang w:val="en-IE" w:eastAsia="en-IE"/>
        </w:rPr>
      </w:pPr>
    </w:p>
    <w:p w:rsidR="00F0659D" w:rsidRPr="00F0659D" w:rsidRDefault="00F0659D" w:rsidP="00F0659D">
      <w:pPr>
        <w:kinsoku w:val="0"/>
        <w:overflowPunct w:val="0"/>
        <w:contextualSpacing/>
        <w:textAlignment w:val="baseline"/>
        <w:rPr>
          <w:rFonts w:asciiTheme="majorHAnsi" w:eastAsia="Times New Roman" w:hAnsiTheme="majorHAnsi" w:cs="Times New Roman"/>
          <w:lang w:val="en-IE" w:eastAsia="en-IE"/>
        </w:rPr>
      </w:pPr>
      <w:r w:rsidRPr="00096A13">
        <w:rPr>
          <w:rFonts w:asciiTheme="majorHAnsi" w:eastAsiaTheme="minorEastAsia" w:hAnsiTheme="majorHAnsi"/>
          <w:bCs/>
          <w:lang w:eastAsia="en-IE"/>
        </w:rPr>
        <w:t xml:space="preserve">Risk assessment is about </w:t>
      </w:r>
      <w:r w:rsidRPr="00F0659D">
        <w:rPr>
          <w:rFonts w:asciiTheme="majorHAnsi" w:eastAsiaTheme="minorEastAsia" w:hAnsiTheme="majorHAnsi"/>
          <w:bCs/>
          <w:lang w:eastAsia="en-IE"/>
        </w:rPr>
        <w:t xml:space="preserve">identifying sensible measures to control the risks. </w:t>
      </w:r>
    </w:p>
    <w:p w:rsidR="00F0659D" w:rsidRPr="00096A13" w:rsidRDefault="00F0659D" w:rsidP="00F0659D">
      <w:pPr>
        <w:kinsoku w:val="0"/>
        <w:overflowPunct w:val="0"/>
        <w:contextualSpacing/>
        <w:textAlignment w:val="baseline"/>
        <w:rPr>
          <w:rFonts w:asciiTheme="majorHAnsi" w:eastAsia="Times New Roman" w:hAnsiTheme="majorHAnsi" w:cs="Arial"/>
          <w:bCs/>
          <w:lang w:eastAsia="en-IE"/>
        </w:rPr>
      </w:pPr>
      <w:r w:rsidRPr="00F0659D">
        <w:rPr>
          <w:rFonts w:asciiTheme="majorHAnsi" w:eastAsiaTheme="minorEastAsia" w:hAnsiTheme="majorHAnsi"/>
          <w:bCs/>
          <w:lang w:eastAsia="en-IE"/>
        </w:rPr>
        <w:t>Your risk assessment will help you decide whether you h</w:t>
      </w:r>
      <w:r w:rsidRPr="00096A13">
        <w:rPr>
          <w:rFonts w:asciiTheme="majorHAnsi" w:eastAsiaTheme="minorEastAsia" w:hAnsiTheme="majorHAnsi"/>
          <w:bCs/>
          <w:lang w:eastAsia="en-IE"/>
        </w:rPr>
        <w:t xml:space="preserve">ave covered all you need to - </w:t>
      </w:r>
      <w:r w:rsidRPr="00096A13">
        <w:rPr>
          <w:rFonts w:asciiTheme="majorHAnsi" w:eastAsia="Times New Roman" w:hAnsiTheme="majorHAnsi" w:cs="Arial"/>
          <w:bCs/>
          <w:lang w:eastAsia="en-IE"/>
        </w:rPr>
        <w:t>t</w:t>
      </w:r>
      <w:r w:rsidRPr="00F0659D">
        <w:rPr>
          <w:rFonts w:asciiTheme="majorHAnsi" w:eastAsia="Times New Roman" w:hAnsiTheme="majorHAnsi" w:cs="Arial"/>
          <w:bCs/>
          <w:lang w:eastAsia="en-IE"/>
        </w:rPr>
        <w:t>hat you have done enough.</w:t>
      </w:r>
    </w:p>
    <w:p w:rsidR="00F0659D" w:rsidRPr="0099442B" w:rsidRDefault="00F0659D" w:rsidP="00F0659D">
      <w:pPr>
        <w:kinsoku w:val="0"/>
        <w:overflowPunct w:val="0"/>
        <w:contextualSpacing/>
        <w:textAlignment w:val="baseline"/>
        <w:rPr>
          <w:rFonts w:asciiTheme="majorHAnsi" w:eastAsia="Times New Roman" w:hAnsiTheme="majorHAnsi" w:cs="Arial"/>
          <w:b/>
          <w:bCs/>
          <w:color w:val="000066"/>
          <w:sz w:val="16"/>
          <w:szCs w:val="16"/>
          <w:lang w:eastAsia="en-IE"/>
        </w:rPr>
      </w:pPr>
    </w:p>
    <w:p w:rsidR="00F0659D" w:rsidRPr="00096A13" w:rsidRDefault="00096A13" w:rsidP="00F0659D">
      <w:pPr>
        <w:kinsoku w:val="0"/>
        <w:overflowPunct w:val="0"/>
        <w:contextualSpacing/>
        <w:textAlignment w:val="baseline"/>
        <w:rPr>
          <w:rFonts w:asciiTheme="majorHAnsi" w:eastAsia="Times New Roman" w:hAnsiTheme="majorHAnsi" w:cs="Arial"/>
          <w:b/>
          <w:bCs/>
          <w:color w:val="17365D" w:themeColor="text2" w:themeShade="BF"/>
          <w:sz w:val="28"/>
          <w:szCs w:val="28"/>
          <w:lang w:eastAsia="en-IE"/>
        </w:rPr>
      </w:pPr>
      <w:r w:rsidRPr="00096A13">
        <w:rPr>
          <w:rFonts w:asciiTheme="majorHAnsi" w:eastAsia="Times New Roman" w:hAnsiTheme="majorHAnsi" w:cs="Times New Roman"/>
          <w:b/>
          <w:color w:val="17365D" w:themeColor="text2" w:themeShade="BF"/>
          <w:sz w:val="28"/>
          <w:szCs w:val="28"/>
          <w:lang w:val="en-IE" w:eastAsia="en-IE"/>
        </w:rPr>
        <w:t>Principles of Prevention</w:t>
      </w:r>
    </w:p>
    <w:p w:rsidR="00F0659D" w:rsidRPr="00F0659D" w:rsidRDefault="00F0659D" w:rsidP="00F0659D">
      <w:pPr>
        <w:kinsoku w:val="0"/>
        <w:overflowPunct w:val="0"/>
        <w:contextualSpacing/>
        <w:textAlignment w:val="baseline"/>
        <w:rPr>
          <w:rFonts w:asciiTheme="majorHAnsi" w:eastAsia="Times New Roman" w:hAnsiTheme="majorHAnsi" w:cs="Times New Roman"/>
          <w:lang w:val="en-IE" w:eastAsia="en-IE"/>
        </w:rPr>
      </w:pPr>
      <w:r w:rsidRPr="00F0659D">
        <w:rPr>
          <w:rFonts w:asciiTheme="majorHAnsi" w:eastAsia="Times New Roman" w:hAnsiTheme="majorHAnsi" w:cs="Times New Roman"/>
          <w:lang w:val="en-IE" w:eastAsia="en-IE"/>
        </w:rPr>
        <w:t xml:space="preserve">When selecting controls to eliminate or minimise risk </w:t>
      </w:r>
      <w:r w:rsidR="001F0A45">
        <w:rPr>
          <w:rFonts w:asciiTheme="majorHAnsi" w:eastAsia="Times New Roman" w:hAnsiTheme="majorHAnsi" w:cs="Times New Roman"/>
          <w:lang w:val="en-IE" w:eastAsia="en-IE"/>
        </w:rPr>
        <w:t>use</w:t>
      </w:r>
      <w:r w:rsidRPr="00F0659D">
        <w:rPr>
          <w:rFonts w:asciiTheme="majorHAnsi" w:eastAsia="Times New Roman" w:hAnsiTheme="majorHAnsi" w:cs="Times New Roman"/>
          <w:lang w:val="en-IE" w:eastAsia="en-IE"/>
        </w:rPr>
        <w:t xml:space="preserve"> the Principles of Prevention</w:t>
      </w:r>
      <w:r w:rsidR="001F0A45">
        <w:rPr>
          <w:rFonts w:asciiTheme="majorHAnsi" w:eastAsia="Times New Roman" w:hAnsiTheme="majorHAnsi" w:cs="Times New Roman"/>
          <w:lang w:val="en-IE" w:eastAsia="en-IE"/>
        </w:rPr>
        <w:t>;</w:t>
      </w:r>
    </w:p>
    <w:p w:rsidR="00F0659D" w:rsidRPr="00F0659D" w:rsidRDefault="00F0659D" w:rsidP="00F0659D">
      <w:pPr>
        <w:rPr>
          <w:rFonts w:asciiTheme="majorHAnsi" w:hAnsiTheme="majorHAnsi"/>
          <w:lang w:val="en-IE"/>
        </w:rPr>
      </w:pPr>
      <w:r w:rsidRPr="00F0659D">
        <w:rPr>
          <w:rFonts w:asciiTheme="majorHAnsi" w:hAnsiTheme="majorHAnsi"/>
          <w:lang w:val="en-IE"/>
        </w:rPr>
        <w:t>1. The avoidance of risks.</w:t>
      </w:r>
    </w:p>
    <w:p w:rsidR="00F0659D" w:rsidRPr="00F0659D" w:rsidRDefault="00F0659D" w:rsidP="00F0659D">
      <w:pPr>
        <w:rPr>
          <w:rFonts w:asciiTheme="majorHAnsi" w:hAnsiTheme="majorHAnsi"/>
          <w:lang w:val="en-IE"/>
        </w:rPr>
      </w:pPr>
      <w:r w:rsidRPr="00F0659D">
        <w:rPr>
          <w:rFonts w:asciiTheme="majorHAnsi" w:hAnsiTheme="majorHAnsi"/>
          <w:lang w:val="en-IE"/>
        </w:rPr>
        <w:t>2. The evaluation of unavoidable risks.</w:t>
      </w:r>
    </w:p>
    <w:p w:rsidR="00F0659D" w:rsidRPr="00F0659D" w:rsidRDefault="00F0659D" w:rsidP="00F0659D">
      <w:pPr>
        <w:rPr>
          <w:rFonts w:asciiTheme="majorHAnsi" w:hAnsiTheme="majorHAnsi"/>
          <w:lang w:val="en-IE"/>
        </w:rPr>
      </w:pPr>
      <w:r w:rsidRPr="00F0659D">
        <w:rPr>
          <w:rFonts w:asciiTheme="majorHAnsi" w:hAnsiTheme="majorHAnsi"/>
          <w:lang w:val="en-IE"/>
        </w:rPr>
        <w:t>3. The combating of risks at source.</w:t>
      </w:r>
    </w:p>
    <w:p w:rsidR="00F0659D" w:rsidRPr="00F0659D" w:rsidRDefault="00F0659D" w:rsidP="00F0659D">
      <w:pPr>
        <w:rPr>
          <w:rFonts w:asciiTheme="majorHAnsi" w:hAnsiTheme="majorHAnsi"/>
          <w:lang w:val="en-IE"/>
        </w:rPr>
      </w:pPr>
      <w:r w:rsidRPr="00F0659D">
        <w:rPr>
          <w:rFonts w:asciiTheme="majorHAnsi" w:hAnsiTheme="majorHAnsi"/>
          <w:lang w:val="en-IE"/>
        </w:rPr>
        <w:t xml:space="preserve">4. The adaptation of work to the individual. </w:t>
      </w:r>
    </w:p>
    <w:p w:rsidR="00F0659D" w:rsidRPr="00F0659D" w:rsidRDefault="00F0659D" w:rsidP="00F0659D">
      <w:pPr>
        <w:rPr>
          <w:rFonts w:asciiTheme="majorHAnsi" w:hAnsiTheme="majorHAnsi"/>
          <w:lang w:val="en-IE"/>
        </w:rPr>
      </w:pPr>
      <w:r w:rsidRPr="00F0659D">
        <w:rPr>
          <w:rFonts w:asciiTheme="majorHAnsi" w:hAnsiTheme="majorHAnsi"/>
          <w:lang w:val="en-IE"/>
        </w:rPr>
        <w:t>5. The adaptation of the place of work to technical progress.</w:t>
      </w:r>
    </w:p>
    <w:p w:rsidR="00F0659D" w:rsidRPr="00F0659D" w:rsidRDefault="00F0659D" w:rsidP="00F0659D">
      <w:pPr>
        <w:rPr>
          <w:rFonts w:asciiTheme="majorHAnsi" w:hAnsiTheme="majorHAnsi"/>
          <w:lang w:val="en-IE"/>
        </w:rPr>
      </w:pPr>
      <w:r w:rsidRPr="00F0659D">
        <w:rPr>
          <w:rFonts w:asciiTheme="majorHAnsi" w:hAnsiTheme="majorHAnsi"/>
          <w:lang w:val="en-IE"/>
        </w:rPr>
        <w:t xml:space="preserve">6. The replacement of dangerous articles, substances or systems of work by safe or less dangerous </w:t>
      </w:r>
      <w:r w:rsidR="003514B6">
        <w:rPr>
          <w:rFonts w:asciiTheme="majorHAnsi" w:hAnsiTheme="majorHAnsi"/>
          <w:lang w:val="en-IE"/>
        </w:rPr>
        <w:t>ones.</w:t>
      </w:r>
    </w:p>
    <w:p w:rsidR="00F0659D" w:rsidRPr="00F0659D" w:rsidRDefault="00F0659D" w:rsidP="00F0659D">
      <w:pPr>
        <w:rPr>
          <w:rFonts w:asciiTheme="majorHAnsi" w:hAnsiTheme="majorHAnsi"/>
          <w:lang w:val="en-IE"/>
        </w:rPr>
      </w:pPr>
      <w:r w:rsidRPr="00F0659D">
        <w:rPr>
          <w:rFonts w:asciiTheme="majorHAnsi" w:hAnsiTheme="majorHAnsi"/>
          <w:lang w:val="en-IE"/>
        </w:rPr>
        <w:t>7. The giving of priority to collective protective measures over individual protective measures.</w:t>
      </w:r>
    </w:p>
    <w:p w:rsidR="00F0659D" w:rsidRPr="00F0659D" w:rsidRDefault="00F0659D" w:rsidP="00F0659D">
      <w:pPr>
        <w:rPr>
          <w:rFonts w:asciiTheme="majorHAnsi" w:hAnsiTheme="majorHAnsi"/>
          <w:lang w:val="en-IE"/>
        </w:rPr>
      </w:pPr>
      <w:r w:rsidRPr="00F0659D">
        <w:rPr>
          <w:rFonts w:asciiTheme="majorHAnsi" w:hAnsiTheme="majorHAnsi"/>
          <w:lang w:val="en-IE"/>
        </w:rPr>
        <w:t>8. The development of an adequate prevention polic</w:t>
      </w:r>
      <w:r w:rsidR="001F0A45">
        <w:rPr>
          <w:rFonts w:asciiTheme="majorHAnsi" w:hAnsiTheme="majorHAnsi"/>
          <w:lang w:val="en-IE"/>
        </w:rPr>
        <w:t>y.</w:t>
      </w:r>
    </w:p>
    <w:p w:rsidR="00F0659D" w:rsidRDefault="00F0659D" w:rsidP="00F0659D">
      <w:pPr>
        <w:rPr>
          <w:rFonts w:asciiTheme="majorHAnsi" w:hAnsiTheme="majorHAnsi"/>
          <w:lang w:val="en-IE"/>
        </w:rPr>
      </w:pPr>
      <w:r w:rsidRPr="00F0659D">
        <w:rPr>
          <w:rFonts w:asciiTheme="majorHAnsi" w:hAnsiTheme="majorHAnsi"/>
          <w:lang w:val="en-IE"/>
        </w:rPr>
        <w:t>9. The giving of appropriate training and instructions to employees</w:t>
      </w:r>
    </w:p>
    <w:p w:rsidR="00096A13" w:rsidRPr="0099442B" w:rsidRDefault="00096A13" w:rsidP="00F0659D">
      <w:pPr>
        <w:rPr>
          <w:rFonts w:asciiTheme="majorHAnsi" w:hAnsiTheme="majorHAnsi"/>
          <w:b/>
          <w:sz w:val="16"/>
          <w:szCs w:val="16"/>
          <w:lang w:val="en-IE"/>
        </w:rPr>
      </w:pPr>
    </w:p>
    <w:p w:rsidR="0099442B" w:rsidRPr="0099442B" w:rsidRDefault="0099442B" w:rsidP="00F0659D">
      <w:pPr>
        <w:rPr>
          <w:rFonts w:asciiTheme="majorHAnsi" w:hAnsiTheme="majorHAnsi"/>
          <w:b/>
          <w:lang w:val="en-IE"/>
        </w:rPr>
      </w:pPr>
      <w:r w:rsidRPr="0099442B">
        <w:rPr>
          <w:rFonts w:asciiTheme="majorHAnsi" w:hAnsiTheme="majorHAnsi"/>
          <w:b/>
          <w:lang w:val="en-IE"/>
        </w:rPr>
        <w:t xml:space="preserve">Note: </w:t>
      </w:r>
      <w:r w:rsidRPr="0099442B">
        <w:rPr>
          <w:rFonts w:asciiTheme="majorHAnsi" w:hAnsiTheme="majorHAnsi"/>
          <w:b/>
          <w:color w:val="1F497D"/>
        </w:rPr>
        <w:t>R</w:t>
      </w:r>
      <w:r w:rsidRPr="0099442B">
        <w:rPr>
          <w:rFonts w:asciiTheme="majorHAnsi" w:hAnsiTheme="majorHAnsi"/>
          <w:b/>
          <w:color w:val="1F497D"/>
        </w:rPr>
        <w:t>isk assessment is a legal requirement and certain tasks require particular risk assessment e.g.</w:t>
      </w:r>
      <w:r w:rsidRPr="0099442B">
        <w:rPr>
          <w:rFonts w:asciiTheme="majorHAnsi" w:hAnsiTheme="majorHAnsi"/>
          <w:b/>
          <w:color w:val="1F497D"/>
        </w:rPr>
        <w:t xml:space="preserve"> </w:t>
      </w:r>
      <w:r w:rsidRPr="0099442B">
        <w:rPr>
          <w:rFonts w:asciiTheme="majorHAnsi" w:hAnsiTheme="majorHAnsi"/>
          <w:b/>
          <w:color w:val="1F497D"/>
        </w:rPr>
        <w:t>computer</w:t>
      </w:r>
      <w:r w:rsidRPr="0099442B">
        <w:rPr>
          <w:rFonts w:asciiTheme="majorHAnsi" w:hAnsiTheme="majorHAnsi"/>
          <w:b/>
          <w:color w:val="1F497D"/>
        </w:rPr>
        <w:t xml:space="preserve"> work</w:t>
      </w:r>
      <w:r w:rsidRPr="0099442B">
        <w:rPr>
          <w:rFonts w:asciiTheme="majorHAnsi" w:hAnsiTheme="majorHAnsi"/>
          <w:b/>
          <w:color w:val="1F497D"/>
        </w:rPr>
        <w:t>s</w:t>
      </w:r>
      <w:r w:rsidRPr="0099442B">
        <w:rPr>
          <w:rFonts w:asciiTheme="majorHAnsi" w:hAnsiTheme="majorHAnsi"/>
          <w:b/>
          <w:color w:val="1F497D"/>
        </w:rPr>
        <w:t xml:space="preserve">tations, manual handling, </w:t>
      </w:r>
      <w:r>
        <w:rPr>
          <w:rFonts w:asciiTheme="majorHAnsi" w:hAnsiTheme="majorHAnsi"/>
          <w:b/>
          <w:color w:val="1F497D"/>
        </w:rPr>
        <w:t xml:space="preserve">work of </w:t>
      </w:r>
      <w:r w:rsidRPr="0099442B">
        <w:rPr>
          <w:rFonts w:asciiTheme="majorHAnsi" w:hAnsiTheme="majorHAnsi"/>
          <w:b/>
          <w:color w:val="1F497D"/>
        </w:rPr>
        <w:t>pregnant employees</w:t>
      </w:r>
      <w:r>
        <w:rPr>
          <w:rFonts w:asciiTheme="majorHAnsi" w:hAnsiTheme="majorHAnsi"/>
          <w:b/>
          <w:color w:val="1F497D"/>
        </w:rPr>
        <w:t>.</w:t>
      </w:r>
    </w:p>
    <w:p w:rsidR="0099442B" w:rsidRPr="0099442B" w:rsidRDefault="0099442B" w:rsidP="00F0659D">
      <w:pPr>
        <w:rPr>
          <w:rFonts w:asciiTheme="majorHAnsi" w:hAnsiTheme="majorHAnsi"/>
          <w:sz w:val="16"/>
          <w:szCs w:val="16"/>
          <w:lang w:val="en-IE"/>
        </w:rPr>
      </w:pPr>
    </w:p>
    <w:p w:rsidR="00096A13" w:rsidRPr="00096A13" w:rsidRDefault="00096A13" w:rsidP="00F0659D">
      <w:pPr>
        <w:rPr>
          <w:rFonts w:asciiTheme="majorHAnsi" w:hAnsiTheme="majorHAnsi"/>
          <w:b/>
          <w:color w:val="17365D" w:themeColor="text2" w:themeShade="BF"/>
          <w:sz w:val="28"/>
          <w:szCs w:val="28"/>
          <w:lang w:val="en-IE"/>
        </w:rPr>
      </w:pPr>
      <w:r w:rsidRPr="00096A13">
        <w:rPr>
          <w:rFonts w:asciiTheme="majorHAnsi" w:hAnsiTheme="majorHAnsi"/>
          <w:b/>
          <w:color w:val="17365D" w:themeColor="text2" w:themeShade="BF"/>
          <w:sz w:val="28"/>
          <w:szCs w:val="28"/>
          <w:lang w:val="en-IE"/>
        </w:rPr>
        <w:t>To ensure controls remain effective</w:t>
      </w:r>
      <w:r>
        <w:rPr>
          <w:rFonts w:asciiTheme="majorHAnsi" w:hAnsiTheme="majorHAnsi"/>
          <w:b/>
          <w:color w:val="17365D" w:themeColor="text2" w:themeShade="BF"/>
          <w:sz w:val="28"/>
          <w:szCs w:val="28"/>
          <w:lang w:val="en-IE"/>
        </w:rPr>
        <w:t>:</w:t>
      </w:r>
    </w:p>
    <w:p w:rsidR="00096A13" w:rsidRPr="0099442B" w:rsidRDefault="00096A13" w:rsidP="00F0659D">
      <w:pPr>
        <w:rPr>
          <w:rFonts w:asciiTheme="majorHAnsi" w:hAnsiTheme="majorHAnsi"/>
          <w:color w:val="FF0000"/>
          <w:sz w:val="16"/>
          <w:szCs w:val="16"/>
          <w:lang w:val="en-IE"/>
        </w:rPr>
      </w:pPr>
    </w:p>
    <w:p w:rsidR="00096A13" w:rsidRPr="00096A13" w:rsidRDefault="001F0A45" w:rsidP="00096A13">
      <w:pPr>
        <w:pStyle w:val="Default"/>
        <w:rPr>
          <w:rFonts w:asciiTheme="majorHAnsi" w:hAnsiTheme="majorHAnsi"/>
        </w:rPr>
      </w:pPr>
      <w:r w:rsidRPr="00096A13">
        <w:rPr>
          <w:rFonts w:asciiTheme="majorHAnsi" w:eastAsiaTheme="minorEastAsia" w:hAnsiTheme="majorHAnsi"/>
          <w:b/>
          <w:bCs/>
          <w:color w:val="17365D" w:themeColor="text2" w:themeShade="BF"/>
          <w:lang w:eastAsia="en-IE"/>
        </w:rPr>
        <w:t>Accountability</w:t>
      </w:r>
      <w:r w:rsidRPr="00096A13">
        <w:rPr>
          <w:rFonts w:asciiTheme="majorHAnsi" w:hAnsiTheme="majorHAnsi"/>
        </w:rPr>
        <w:t xml:space="preserve"> </w:t>
      </w:r>
      <w:r>
        <w:rPr>
          <w:rFonts w:asciiTheme="majorHAnsi" w:hAnsiTheme="majorHAnsi"/>
        </w:rPr>
        <w:t>-</w:t>
      </w:r>
      <w:r w:rsidR="00096A13">
        <w:rPr>
          <w:rFonts w:asciiTheme="majorHAnsi" w:hAnsiTheme="majorHAnsi"/>
        </w:rPr>
        <w:t xml:space="preserve"> </w:t>
      </w:r>
      <w:r w:rsidR="00096A13" w:rsidRPr="00096A13">
        <w:rPr>
          <w:rFonts w:asciiTheme="majorHAnsi" w:hAnsiTheme="majorHAnsi"/>
        </w:rPr>
        <w:t xml:space="preserve">Accountability should be clearly allocated to ensure procedures are followed and maintained </w:t>
      </w:r>
    </w:p>
    <w:p w:rsidR="00096A13" w:rsidRPr="0099442B" w:rsidRDefault="00096A13" w:rsidP="00096A13">
      <w:pPr>
        <w:kinsoku w:val="0"/>
        <w:overflowPunct w:val="0"/>
        <w:ind w:left="360"/>
        <w:contextualSpacing/>
        <w:textAlignment w:val="baseline"/>
        <w:rPr>
          <w:rFonts w:asciiTheme="majorHAnsi" w:eastAsia="Times New Roman" w:hAnsiTheme="majorHAnsi" w:cs="Times New Roman"/>
          <w:sz w:val="16"/>
          <w:szCs w:val="16"/>
          <w:lang w:val="en-IE" w:eastAsia="en-IE"/>
        </w:rPr>
      </w:pPr>
    </w:p>
    <w:p w:rsidR="00096A13" w:rsidRPr="00096A13" w:rsidRDefault="00096A13" w:rsidP="00096A13">
      <w:pPr>
        <w:pStyle w:val="Default"/>
        <w:rPr>
          <w:rFonts w:asciiTheme="majorHAnsi" w:hAnsiTheme="majorHAnsi"/>
        </w:rPr>
      </w:pPr>
      <w:r w:rsidRPr="00096A13">
        <w:rPr>
          <w:rFonts w:asciiTheme="majorHAnsi" w:eastAsiaTheme="minorEastAsia" w:hAnsiTheme="majorHAnsi"/>
          <w:b/>
          <w:bCs/>
          <w:color w:val="17365D" w:themeColor="text2" w:themeShade="BF"/>
          <w:lang w:eastAsia="en-IE"/>
        </w:rPr>
        <w:t xml:space="preserve">Maintenance of </w:t>
      </w:r>
      <w:r w:rsidR="001F0A45" w:rsidRPr="00096A13">
        <w:rPr>
          <w:rFonts w:asciiTheme="majorHAnsi" w:eastAsiaTheme="minorEastAsia" w:hAnsiTheme="majorHAnsi"/>
          <w:b/>
          <w:bCs/>
          <w:color w:val="17365D" w:themeColor="text2" w:themeShade="BF"/>
          <w:lang w:eastAsia="en-IE"/>
        </w:rPr>
        <w:t>equipment</w:t>
      </w:r>
      <w:r w:rsidR="001F0A45" w:rsidRPr="00096A13">
        <w:rPr>
          <w:rFonts w:asciiTheme="majorHAnsi" w:hAnsiTheme="majorHAnsi"/>
          <w:color w:val="17365D" w:themeColor="text2" w:themeShade="BF"/>
        </w:rPr>
        <w:t xml:space="preserve"> -</w:t>
      </w:r>
      <w:r>
        <w:rPr>
          <w:rFonts w:asciiTheme="majorHAnsi" w:hAnsiTheme="majorHAnsi"/>
        </w:rPr>
        <w:t xml:space="preserve"> </w:t>
      </w:r>
      <w:r w:rsidRPr="00096A13">
        <w:rPr>
          <w:rFonts w:asciiTheme="majorHAnsi" w:hAnsiTheme="majorHAnsi"/>
        </w:rPr>
        <w:t xml:space="preserve">This will involve regular inspection and testing, repair or replacement of damaged or worn equipment. It includes checking that any control measures </w:t>
      </w:r>
      <w:r w:rsidR="001F0A45" w:rsidRPr="00096A13">
        <w:rPr>
          <w:rFonts w:asciiTheme="majorHAnsi" w:hAnsiTheme="majorHAnsi"/>
        </w:rPr>
        <w:t>are set</w:t>
      </w:r>
      <w:r w:rsidRPr="00096A13">
        <w:rPr>
          <w:rFonts w:asciiTheme="majorHAnsi" w:hAnsiTheme="majorHAnsi"/>
        </w:rPr>
        <w:t xml:space="preserve"> up and used correctly. </w:t>
      </w:r>
    </w:p>
    <w:p w:rsidR="00096A13" w:rsidRPr="0099442B" w:rsidRDefault="00096A13" w:rsidP="00096A13">
      <w:pPr>
        <w:kinsoku w:val="0"/>
        <w:overflowPunct w:val="0"/>
        <w:ind w:left="360"/>
        <w:contextualSpacing/>
        <w:textAlignment w:val="baseline"/>
        <w:rPr>
          <w:rFonts w:asciiTheme="majorHAnsi" w:eastAsia="Times New Roman" w:hAnsiTheme="majorHAnsi" w:cs="Times New Roman"/>
          <w:sz w:val="16"/>
          <w:szCs w:val="16"/>
          <w:lang w:val="en-IE" w:eastAsia="en-IE"/>
        </w:rPr>
      </w:pPr>
    </w:p>
    <w:p w:rsidR="00096A13" w:rsidRPr="00096A13" w:rsidRDefault="00096A13" w:rsidP="00096A13">
      <w:pPr>
        <w:kinsoku w:val="0"/>
        <w:overflowPunct w:val="0"/>
        <w:contextualSpacing/>
        <w:textAlignment w:val="baseline"/>
        <w:rPr>
          <w:rFonts w:asciiTheme="majorHAnsi" w:eastAsiaTheme="minorEastAsia" w:hAnsiTheme="majorHAnsi"/>
          <w:b/>
          <w:bCs/>
          <w:color w:val="000066"/>
          <w:lang w:val="en-IE" w:eastAsia="en-IE"/>
        </w:rPr>
      </w:pPr>
      <w:r w:rsidRPr="00096A13">
        <w:rPr>
          <w:rFonts w:asciiTheme="majorHAnsi" w:eastAsiaTheme="minorEastAsia" w:hAnsiTheme="majorHAnsi"/>
          <w:b/>
          <w:bCs/>
          <w:color w:val="17365D" w:themeColor="text2" w:themeShade="BF"/>
          <w:lang w:val="en-IE" w:eastAsia="en-IE"/>
        </w:rPr>
        <w:t xml:space="preserve">Up to date training and competency </w:t>
      </w:r>
      <w:r>
        <w:rPr>
          <w:rFonts w:asciiTheme="majorHAnsi" w:eastAsiaTheme="minorEastAsia" w:hAnsiTheme="majorHAnsi"/>
          <w:b/>
          <w:bCs/>
          <w:color w:val="000066"/>
          <w:lang w:val="en-IE" w:eastAsia="en-IE"/>
        </w:rPr>
        <w:t xml:space="preserve">- </w:t>
      </w:r>
      <w:r w:rsidRPr="00096A13">
        <w:rPr>
          <w:rFonts w:asciiTheme="majorHAnsi" w:hAnsiTheme="majorHAnsi"/>
        </w:rPr>
        <w:t xml:space="preserve">Control measures, particularly lower level controls, depend on all staff having the appropriate competencies to do the job safely. Training should be provided to maintain competencies and to ensure new staff and post grads are capable of working safely. </w:t>
      </w:r>
    </w:p>
    <w:p w:rsidR="00096A13" w:rsidRPr="0099442B" w:rsidRDefault="00096A13" w:rsidP="00096A13">
      <w:pPr>
        <w:kinsoku w:val="0"/>
        <w:overflowPunct w:val="0"/>
        <w:ind w:left="360"/>
        <w:contextualSpacing/>
        <w:textAlignment w:val="baseline"/>
        <w:rPr>
          <w:rFonts w:asciiTheme="majorHAnsi" w:eastAsia="Times New Roman" w:hAnsiTheme="majorHAnsi" w:cs="Times New Roman"/>
          <w:sz w:val="16"/>
          <w:szCs w:val="16"/>
          <w:lang w:val="en-IE" w:eastAsia="en-IE"/>
        </w:rPr>
      </w:pPr>
    </w:p>
    <w:p w:rsidR="00096A13" w:rsidRPr="0099442B" w:rsidRDefault="00096A13" w:rsidP="0099442B">
      <w:pPr>
        <w:kinsoku w:val="0"/>
        <w:overflowPunct w:val="0"/>
        <w:contextualSpacing/>
        <w:textAlignment w:val="baseline"/>
        <w:rPr>
          <w:rFonts w:asciiTheme="majorHAnsi" w:eastAsiaTheme="minorEastAsia" w:hAnsiTheme="majorHAnsi"/>
          <w:b/>
          <w:bCs/>
          <w:color w:val="000066"/>
          <w:sz w:val="16"/>
          <w:szCs w:val="16"/>
          <w:lang w:val="en-IE" w:eastAsia="en-IE"/>
        </w:rPr>
      </w:pPr>
      <w:r w:rsidRPr="00096A13">
        <w:rPr>
          <w:rFonts w:asciiTheme="majorHAnsi" w:eastAsiaTheme="minorEastAsia" w:hAnsiTheme="majorHAnsi"/>
          <w:b/>
          <w:bCs/>
          <w:color w:val="17365D" w:themeColor="text2" w:themeShade="BF"/>
          <w:lang w:val="en-IE" w:eastAsia="en-IE"/>
        </w:rPr>
        <w:t xml:space="preserve">Up to date hazard information </w:t>
      </w:r>
      <w:r>
        <w:rPr>
          <w:rFonts w:asciiTheme="majorHAnsi" w:eastAsiaTheme="minorEastAsia" w:hAnsiTheme="majorHAnsi"/>
          <w:b/>
          <w:bCs/>
          <w:color w:val="000066"/>
          <w:lang w:val="en-IE" w:eastAsia="en-IE"/>
        </w:rPr>
        <w:t xml:space="preserve">- </w:t>
      </w:r>
      <w:r w:rsidRPr="00096A13">
        <w:rPr>
          <w:rFonts w:asciiTheme="majorHAnsi" w:hAnsiTheme="majorHAnsi"/>
        </w:rPr>
        <w:t>Information about hazards</w:t>
      </w:r>
      <w:r>
        <w:rPr>
          <w:rFonts w:asciiTheme="majorHAnsi" w:hAnsiTheme="majorHAnsi"/>
        </w:rPr>
        <w:t xml:space="preserve"> </w:t>
      </w:r>
      <w:r w:rsidRPr="00096A13">
        <w:rPr>
          <w:rFonts w:asciiTheme="majorHAnsi" w:hAnsiTheme="majorHAnsi"/>
        </w:rPr>
        <w:t xml:space="preserve">may be updated by manufacturers and suppliers and should be checked to make sure controls are still relevant. New technology may provide more effective solutions than were previously available. </w:t>
      </w:r>
      <w:r w:rsidR="0099442B">
        <w:rPr>
          <w:rFonts w:asciiTheme="majorHAnsi" w:eastAsiaTheme="minorEastAsia" w:hAnsiTheme="majorHAnsi"/>
          <w:b/>
          <w:bCs/>
          <w:color w:val="000066"/>
          <w:lang w:val="en-IE" w:eastAsia="en-IE"/>
        </w:rPr>
        <w:br/>
      </w:r>
    </w:p>
    <w:p w:rsidR="00096A13" w:rsidRPr="001F0A45" w:rsidRDefault="00096A13" w:rsidP="001F0A45">
      <w:pPr>
        <w:rPr>
          <w:rFonts w:asciiTheme="majorHAnsi" w:eastAsiaTheme="minorEastAsia" w:hAnsiTheme="majorHAnsi"/>
          <w:b/>
          <w:bCs/>
          <w:color w:val="17365D" w:themeColor="text2" w:themeShade="BF"/>
          <w:lang w:eastAsia="en-IE"/>
        </w:rPr>
      </w:pPr>
      <w:r w:rsidRPr="001F0A45">
        <w:rPr>
          <w:rFonts w:asciiTheme="majorHAnsi" w:eastAsiaTheme="minorEastAsia" w:hAnsiTheme="majorHAnsi"/>
          <w:b/>
          <w:bCs/>
          <w:color w:val="17365D" w:themeColor="text2" w:themeShade="BF"/>
          <w:lang w:val="en-IE" w:eastAsia="en-IE"/>
        </w:rPr>
        <w:t>Regular review and consultation</w:t>
      </w:r>
      <w:r w:rsidR="001F0A45">
        <w:rPr>
          <w:rFonts w:asciiTheme="majorHAnsi" w:eastAsiaTheme="minorEastAsia" w:hAnsiTheme="majorHAnsi"/>
          <w:b/>
          <w:bCs/>
          <w:color w:val="17365D" w:themeColor="text2" w:themeShade="BF"/>
          <w:lang w:val="en-IE" w:eastAsia="en-IE"/>
        </w:rPr>
        <w:t xml:space="preserve"> - </w:t>
      </w:r>
      <w:r w:rsidRPr="00096A13">
        <w:rPr>
          <w:rFonts w:asciiTheme="majorHAnsi" w:hAnsiTheme="majorHAnsi"/>
        </w:rPr>
        <w:t>Control measures are more effective where there is regular review of work procedures and consultation with staff.</w:t>
      </w:r>
    </w:p>
    <w:sectPr w:rsidR="00096A13" w:rsidRPr="001F0A45" w:rsidSect="00C6212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F8" w:rsidRDefault="00940FF8" w:rsidP="0009772A">
      <w:r>
        <w:separator/>
      </w:r>
    </w:p>
  </w:endnote>
  <w:endnote w:type="continuationSeparator" w:id="0">
    <w:p w:rsidR="00940FF8" w:rsidRDefault="00940FF8" w:rsidP="0009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58" w:rsidRDefault="00C83758">
    <w:pPr>
      <w:pStyle w:val="Footer"/>
    </w:pPr>
    <w:r>
      <w:t>__________________________________________________________________________________</w:t>
    </w:r>
  </w:p>
  <w:p w:rsidR="00C83758" w:rsidRDefault="00C83758">
    <w:pPr>
      <w:pStyle w:val="Footer"/>
    </w:pPr>
    <w:r>
      <w:rPr>
        <w:noProof/>
        <w:lang w:val="en-IE" w:eastAsia="en-IE"/>
      </w:rPr>
      <w:drawing>
        <wp:inline distT="0" distB="0" distL="0" distR="0" wp14:anchorId="71D92136" wp14:editId="31DC1891">
          <wp:extent cx="1798320"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54990"/>
                  </a:xfrm>
                  <a:prstGeom prst="rect">
                    <a:avLst/>
                  </a:prstGeom>
                  <a:noFill/>
                </pic:spPr>
              </pic:pic>
            </a:graphicData>
          </a:graphic>
        </wp:inline>
      </w:drawing>
    </w:r>
  </w:p>
  <w:p w:rsidR="00C83758" w:rsidRPr="00F87ECF" w:rsidRDefault="00C83758">
    <w:pPr>
      <w:pStyle w:val="Footer"/>
      <w:rPr>
        <w:color w:val="17365D" w:themeColor="text2" w:themeShade="BF"/>
      </w:rPr>
    </w:pPr>
    <w:r w:rsidRPr="00F87ECF">
      <w:rPr>
        <w:color w:val="17365D" w:themeColor="text2" w:themeShade="BF"/>
      </w:rPr>
      <w:t>Health and Safety Office Safety Briefing Series 2014 – 2015</w:t>
    </w:r>
  </w:p>
  <w:p w:rsidR="00C83758" w:rsidRPr="00F87ECF" w:rsidRDefault="00C83758">
    <w:pPr>
      <w:pStyle w:val="Footer"/>
      <w:rPr>
        <w:color w:val="17365D" w:themeColor="text2" w:themeShade="BF"/>
        <w:sz w:val="20"/>
        <w:szCs w:val="20"/>
      </w:rPr>
    </w:pPr>
    <w:r w:rsidRPr="00F87ECF">
      <w:rPr>
        <w:color w:val="17365D" w:themeColor="text2" w:themeShade="BF"/>
        <w:sz w:val="20"/>
        <w:szCs w:val="20"/>
      </w:rPr>
      <w:t>Integrated Risk Solutions</w:t>
    </w:r>
  </w:p>
  <w:p w:rsidR="0009772A" w:rsidRDefault="00097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F8" w:rsidRDefault="00940FF8" w:rsidP="0009772A">
      <w:r>
        <w:separator/>
      </w:r>
    </w:p>
  </w:footnote>
  <w:footnote w:type="continuationSeparator" w:id="0">
    <w:p w:rsidR="00940FF8" w:rsidRDefault="00940FF8" w:rsidP="0009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72A" w:rsidRPr="00F87ECF" w:rsidRDefault="00F0659D">
    <w:pPr>
      <w:pStyle w:val="Header"/>
      <w:pBdr>
        <w:bottom w:val="single" w:sz="12" w:space="1" w:color="auto"/>
      </w:pBdr>
      <w:rPr>
        <w:b/>
        <w:color w:val="17365D" w:themeColor="text2" w:themeShade="BF"/>
      </w:rPr>
    </w:pPr>
    <w:r>
      <w:rPr>
        <w:rFonts w:asciiTheme="majorHAnsi" w:hAnsiTheme="majorHAnsi"/>
        <w:b/>
        <w:color w:val="17365D" w:themeColor="text2" w:themeShade="BF"/>
        <w:sz w:val="32"/>
        <w:szCs w:val="32"/>
      </w:rPr>
      <w:t>Risk assessment and risk control</w:t>
    </w:r>
    <w:r w:rsidR="00C83758" w:rsidRPr="00F87ECF">
      <w:rPr>
        <w:b/>
        <w:color w:val="17365D" w:themeColor="text2" w:themeShade="BF"/>
        <w:sz w:val="32"/>
        <w:szCs w:val="32"/>
      </w:rPr>
      <w:t xml:space="preserve">     </w:t>
    </w:r>
    <w:r w:rsidR="001F0A45" w:rsidRPr="00F87ECF">
      <w:rPr>
        <w:rFonts w:asciiTheme="majorHAnsi" w:hAnsiTheme="majorHAnsi"/>
        <w:b/>
        <w:color w:val="17365D" w:themeColor="text2" w:themeShade="BF"/>
        <w:sz w:val="32"/>
        <w:szCs w:val="32"/>
      </w:rPr>
      <w:t>- Key</w:t>
    </w:r>
    <w:r w:rsidR="00F87ECF" w:rsidRPr="00F87ECF">
      <w:rPr>
        <w:rFonts w:asciiTheme="majorHAnsi" w:hAnsiTheme="majorHAnsi"/>
        <w:b/>
        <w:color w:val="17365D" w:themeColor="text2" w:themeShade="BF"/>
        <w:sz w:val="32"/>
        <w:szCs w:val="32"/>
      </w:rPr>
      <w:t xml:space="preserve"> </w:t>
    </w:r>
    <w:r w:rsidR="00C83758" w:rsidRPr="00F87ECF">
      <w:rPr>
        <w:rFonts w:asciiTheme="majorHAnsi" w:hAnsiTheme="majorHAnsi"/>
        <w:b/>
        <w:color w:val="17365D" w:themeColor="text2" w:themeShade="BF"/>
        <w:sz w:val="32"/>
        <w:szCs w:val="32"/>
      </w:rPr>
      <w:t>points</w:t>
    </w:r>
    <w:r w:rsidR="00C83758" w:rsidRPr="00F87ECF">
      <w:rPr>
        <w:b/>
        <w:color w:val="17365D" w:themeColor="text2" w:themeShade="BF"/>
      </w:rPr>
      <w:t xml:space="preserve">     </w:t>
    </w:r>
    <w:r w:rsidR="00C83758" w:rsidRPr="00F87ECF">
      <w:rPr>
        <w:b/>
        <w:color w:val="17365D" w:themeColor="text2" w:themeShade="BF"/>
      </w:rPr>
      <w:tab/>
      <w:t xml:space="preserve">     </w:t>
    </w:r>
    <w:r w:rsidR="0009772A" w:rsidRPr="00F87ECF">
      <w:rPr>
        <w:b/>
        <w:color w:val="17365D" w:themeColor="text2" w:themeShade="BF"/>
      </w:rPr>
      <w:t xml:space="preserve">  </w:t>
    </w:r>
    <w:r w:rsidR="0009772A" w:rsidRPr="00F87ECF">
      <w:rPr>
        <w:b/>
        <w:noProof/>
        <w:color w:val="17365D" w:themeColor="text2" w:themeShade="BF"/>
        <w:lang w:val="en-IE" w:eastAsia="en-IE"/>
      </w:rPr>
      <w:drawing>
        <wp:inline distT="0" distB="0" distL="0" distR="0" wp14:anchorId="307898CE" wp14:editId="1D8AD34E">
          <wp:extent cx="830580" cy="830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inline>
      </w:drawing>
    </w:r>
  </w:p>
  <w:p w:rsidR="0009772A" w:rsidRDefault="00097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61D6D"/>
    <w:multiLevelType w:val="hybridMultilevel"/>
    <w:tmpl w:val="36942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0A020F"/>
    <w:multiLevelType w:val="hybridMultilevel"/>
    <w:tmpl w:val="48041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5766483"/>
    <w:multiLevelType w:val="hybridMultilevel"/>
    <w:tmpl w:val="928CA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A813475"/>
    <w:multiLevelType w:val="hybridMultilevel"/>
    <w:tmpl w:val="6960FBA4"/>
    <w:lvl w:ilvl="0" w:tplc="4B349468">
      <w:start w:val="1"/>
      <w:numFmt w:val="bullet"/>
      <w:lvlText w:val="•"/>
      <w:lvlJc w:val="left"/>
      <w:pPr>
        <w:tabs>
          <w:tab w:val="num" w:pos="720"/>
        </w:tabs>
        <w:ind w:left="720" w:hanging="360"/>
      </w:pPr>
      <w:rPr>
        <w:rFonts w:ascii="Times New Roman" w:hAnsi="Times New Roman" w:hint="default"/>
      </w:rPr>
    </w:lvl>
    <w:lvl w:ilvl="1" w:tplc="CB62FC88" w:tentative="1">
      <w:start w:val="1"/>
      <w:numFmt w:val="bullet"/>
      <w:lvlText w:val="•"/>
      <w:lvlJc w:val="left"/>
      <w:pPr>
        <w:tabs>
          <w:tab w:val="num" w:pos="1440"/>
        </w:tabs>
        <w:ind w:left="1440" w:hanging="360"/>
      </w:pPr>
      <w:rPr>
        <w:rFonts w:ascii="Times New Roman" w:hAnsi="Times New Roman" w:hint="default"/>
      </w:rPr>
    </w:lvl>
    <w:lvl w:ilvl="2" w:tplc="89ACF562" w:tentative="1">
      <w:start w:val="1"/>
      <w:numFmt w:val="bullet"/>
      <w:lvlText w:val="•"/>
      <w:lvlJc w:val="left"/>
      <w:pPr>
        <w:tabs>
          <w:tab w:val="num" w:pos="2160"/>
        </w:tabs>
        <w:ind w:left="2160" w:hanging="360"/>
      </w:pPr>
      <w:rPr>
        <w:rFonts w:ascii="Times New Roman" w:hAnsi="Times New Roman" w:hint="default"/>
      </w:rPr>
    </w:lvl>
    <w:lvl w:ilvl="3" w:tplc="45400F38" w:tentative="1">
      <w:start w:val="1"/>
      <w:numFmt w:val="bullet"/>
      <w:lvlText w:val="•"/>
      <w:lvlJc w:val="left"/>
      <w:pPr>
        <w:tabs>
          <w:tab w:val="num" w:pos="2880"/>
        </w:tabs>
        <w:ind w:left="2880" w:hanging="360"/>
      </w:pPr>
      <w:rPr>
        <w:rFonts w:ascii="Times New Roman" w:hAnsi="Times New Roman" w:hint="default"/>
      </w:rPr>
    </w:lvl>
    <w:lvl w:ilvl="4" w:tplc="3ED6EC9A" w:tentative="1">
      <w:start w:val="1"/>
      <w:numFmt w:val="bullet"/>
      <w:lvlText w:val="•"/>
      <w:lvlJc w:val="left"/>
      <w:pPr>
        <w:tabs>
          <w:tab w:val="num" w:pos="3600"/>
        </w:tabs>
        <w:ind w:left="3600" w:hanging="360"/>
      </w:pPr>
      <w:rPr>
        <w:rFonts w:ascii="Times New Roman" w:hAnsi="Times New Roman" w:hint="default"/>
      </w:rPr>
    </w:lvl>
    <w:lvl w:ilvl="5" w:tplc="90661C68" w:tentative="1">
      <w:start w:val="1"/>
      <w:numFmt w:val="bullet"/>
      <w:lvlText w:val="•"/>
      <w:lvlJc w:val="left"/>
      <w:pPr>
        <w:tabs>
          <w:tab w:val="num" w:pos="4320"/>
        </w:tabs>
        <w:ind w:left="4320" w:hanging="360"/>
      </w:pPr>
      <w:rPr>
        <w:rFonts w:ascii="Times New Roman" w:hAnsi="Times New Roman" w:hint="default"/>
      </w:rPr>
    </w:lvl>
    <w:lvl w:ilvl="6" w:tplc="25D6DA64" w:tentative="1">
      <w:start w:val="1"/>
      <w:numFmt w:val="bullet"/>
      <w:lvlText w:val="•"/>
      <w:lvlJc w:val="left"/>
      <w:pPr>
        <w:tabs>
          <w:tab w:val="num" w:pos="5040"/>
        </w:tabs>
        <w:ind w:left="5040" w:hanging="360"/>
      </w:pPr>
      <w:rPr>
        <w:rFonts w:ascii="Times New Roman" w:hAnsi="Times New Roman" w:hint="default"/>
      </w:rPr>
    </w:lvl>
    <w:lvl w:ilvl="7" w:tplc="E534A84A" w:tentative="1">
      <w:start w:val="1"/>
      <w:numFmt w:val="bullet"/>
      <w:lvlText w:val="•"/>
      <w:lvlJc w:val="left"/>
      <w:pPr>
        <w:tabs>
          <w:tab w:val="num" w:pos="5760"/>
        </w:tabs>
        <w:ind w:left="5760" w:hanging="360"/>
      </w:pPr>
      <w:rPr>
        <w:rFonts w:ascii="Times New Roman" w:hAnsi="Times New Roman" w:hint="default"/>
      </w:rPr>
    </w:lvl>
    <w:lvl w:ilvl="8" w:tplc="B48E505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166E93"/>
    <w:multiLevelType w:val="hybridMultilevel"/>
    <w:tmpl w:val="A67EC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62D5C91"/>
    <w:multiLevelType w:val="hybridMultilevel"/>
    <w:tmpl w:val="ED00A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48753E4"/>
    <w:multiLevelType w:val="hybridMultilevel"/>
    <w:tmpl w:val="0C5EF114"/>
    <w:lvl w:ilvl="0" w:tplc="46D81800">
      <w:start w:val="1"/>
      <w:numFmt w:val="bullet"/>
      <w:lvlText w:val="•"/>
      <w:lvlJc w:val="left"/>
      <w:pPr>
        <w:tabs>
          <w:tab w:val="num" w:pos="720"/>
        </w:tabs>
        <w:ind w:left="720" w:hanging="360"/>
      </w:pPr>
      <w:rPr>
        <w:rFonts w:ascii="Times New Roman" w:hAnsi="Times New Roman" w:hint="default"/>
      </w:rPr>
    </w:lvl>
    <w:lvl w:ilvl="1" w:tplc="35543C10" w:tentative="1">
      <w:start w:val="1"/>
      <w:numFmt w:val="bullet"/>
      <w:lvlText w:val="•"/>
      <w:lvlJc w:val="left"/>
      <w:pPr>
        <w:tabs>
          <w:tab w:val="num" w:pos="1440"/>
        </w:tabs>
        <w:ind w:left="1440" w:hanging="360"/>
      </w:pPr>
      <w:rPr>
        <w:rFonts w:ascii="Times New Roman" w:hAnsi="Times New Roman" w:hint="default"/>
      </w:rPr>
    </w:lvl>
    <w:lvl w:ilvl="2" w:tplc="7E724FF2" w:tentative="1">
      <w:start w:val="1"/>
      <w:numFmt w:val="bullet"/>
      <w:lvlText w:val="•"/>
      <w:lvlJc w:val="left"/>
      <w:pPr>
        <w:tabs>
          <w:tab w:val="num" w:pos="2160"/>
        </w:tabs>
        <w:ind w:left="2160" w:hanging="360"/>
      </w:pPr>
      <w:rPr>
        <w:rFonts w:ascii="Times New Roman" w:hAnsi="Times New Roman" w:hint="default"/>
      </w:rPr>
    </w:lvl>
    <w:lvl w:ilvl="3" w:tplc="6B60DA46" w:tentative="1">
      <w:start w:val="1"/>
      <w:numFmt w:val="bullet"/>
      <w:lvlText w:val="•"/>
      <w:lvlJc w:val="left"/>
      <w:pPr>
        <w:tabs>
          <w:tab w:val="num" w:pos="2880"/>
        </w:tabs>
        <w:ind w:left="2880" w:hanging="360"/>
      </w:pPr>
      <w:rPr>
        <w:rFonts w:ascii="Times New Roman" w:hAnsi="Times New Roman" w:hint="default"/>
      </w:rPr>
    </w:lvl>
    <w:lvl w:ilvl="4" w:tplc="62BADBA8" w:tentative="1">
      <w:start w:val="1"/>
      <w:numFmt w:val="bullet"/>
      <w:lvlText w:val="•"/>
      <w:lvlJc w:val="left"/>
      <w:pPr>
        <w:tabs>
          <w:tab w:val="num" w:pos="3600"/>
        </w:tabs>
        <w:ind w:left="3600" w:hanging="360"/>
      </w:pPr>
      <w:rPr>
        <w:rFonts w:ascii="Times New Roman" w:hAnsi="Times New Roman" w:hint="default"/>
      </w:rPr>
    </w:lvl>
    <w:lvl w:ilvl="5" w:tplc="5F548D34" w:tentative="1">
      <w:start w:val="1"/>
      <w:numFmt w:val="bullet"/>
      <w:lvlText w:val="•"/>
      <w:lvlJc w:val="left"/>
      <w:pPr>
        <w:tabs>
          <w:tab w:val="num" w:pos="4320"/>
        </w:tabs>
        <w:ind w:left="4320" w:hanging="360"/>
      </w:pPr>
      <w:rPr>
        <w:rFonts w:ascii="Times New Roman" w:hAnsi="Times New Roman" w:hint="default"/>
      </w:rPr>
    </w:lvl>
    <w:lvl w:ilvl="6" w:tplc="6948741E" w:tentative="1">
      <w:start w:val="1"/>
      <w:numFmt w:val="bullet"/>
      <w:lvlText w:val="•"/>
      <w:lvlJc w:val="left"/>
      <w:pPr>
        <w:tabs>
          <w:tab w:val="num" w:pos="5040"/>
        </w:tabs>
        <w:ind w:left="5040" w:hanging="360"/>
      </w:pPr>
      <w:rPr>
        <w:rFonts w:ascii="Times New Roman" w:hAnsi="Times New Roman" w:hint="default"/>
      </w:rPr>
    </w:lvl>
    <w:lvl w:ilvl="7" w:tplc="00728742" w:tentative="1">
      <w:start w:val="1"/>
      <w:numFmt w:val="bullet"/>
      <w:lvlText w:val="•"/>
      <w:lvlJc w:val="left"/>
      <w:pPr>
        <w:tabs>
          <w:tab w:val="num" w:pos="5760"/>
        </w:tabs>
        <w:ind w:left="5760" w:hanging="360"/>
      </w:pPr>
      <w:rPr>
        <w:rFonts w:ascii="Times New Roman" w:hAnsi="Times New Roman" w:hint="default"/>
      </w:rPr>
    </w:lvl>
    <w:lvl w:ilvl="8" w:tplc="529CA5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73D164B9"/>
    <w:multiLevelType w:val="hybridMultilevel"/>
    <w:tmpl w:val="94D89C1C"/>
    <w:lvl w:ilvl="0" w:tplc="8A4AD6D0">
      <w:start w:val="1"/>
      <w:numFmt w:val="bullet"/>
      <w:lvlText w:val="•"/>
      <w:lvlJc w:val="left"/>
      <w:pPr>
        <w:tabs>
          <w:tab w:val="num" w:pos="720"/>
        </w:tabs>
        <w:ind w:left="720" w:hanging="360"/>
      </w:pPr>
      <w:rPr>
        <w:rFonts w:ascii="Times New Roman" w:hAnsi="Times New Roman" w:hint="default"/>
      </w:rPr>
    </w:lvl>
    <w:lvl w:ilvl="1" w:tplc="7744CB2E">
      <w:start w:val="546"/>
      <w:numFmt w:val="bullet"/>
      <w:lvlText w:val="–"/>
      <w:lvlJc w:val="left"/>
      <w:pPr>
        <w:tabs>
          <w:tab w:val="num" w:pos="1440"/>
        </w:tabs>
        <w:ind w:left="1440" w:hanging="360"/>
      </w:pPr>
      <w:rPr>
        <w:rFonts w:ascii="Times New Roman" w:hAnsi="Times New Roman" w:hint="default"/>
      </w:rPr>
    </w:lvl>
    <w:lvl w:ilvl="2" w:tplc="545002CC" w:tentative="1">
      <w:start w:val="1"/>
      <w:numFmt w:val="bullet"/>
      <w:lvlText w:val="•"/>
      <w:lvlJc w:val="left"/>
      <w:pPr>
        <w:tabs>
          <w:tab w:val="num" w:pos="2160"/>
        </w:tabs>
        <w:ind w:left="2160" w:hanging="360"/>
      </w:pPr>
      <w:rPr>
        <w:rFonts w:ascii="Times New Roman" w:hAnsi="Times New Roman" w:hint="default"/>
      </w:rPr>
    </w:lvl>
    <w:lvl w:ilvl="3" w:tplc="C98A5472" w:tentative="1">
      <w:start w:val="1"/>
      <w:numFmt w:val="bullet"/>
      <w:lvlText w:val="•"/>
      <w:lvlJc w:val="left"/>
      <w:pPr>
        <w:tabs>
          <w:tab w:val="num" w:pos="2880"/>
        </w:tabs>
        <w:ind w:left="2880" w:hanging="360"/>
      </w:pPr>
      <w:rPr>
        <w:rFonts w:ascii="Times New Roman" w:hAnsi="Times New Roman" w:hint="default"/>
      </w:rPr>
    </w:lvl>
    <w:lvl w:ilvl="4" w:tplc="2E8E41F4" w:tentative="1">
      <w:start w:val="1"/>
      <w:numFmt w:val="bullet"/>
      <w:lvlText w:val="•"/>
      <w:lvlJc w:val="left"/>
      <w:pPr>
        <w:tabs>
          <w:tab w:val="num" w:pos="3600"/>
        </w:tabs>
        <w:ind w:left="3600" w:hanging="360"/>
      </w:pPr>
      <w:rPr>
        <w:rFonts w:ascii="Times New Roman" w:hAnsi="Times New Roman" w:hint="default"/>
      </w:rPr>
    </w:lvl>
    <w:lvl w:ilvl="5" w:tplc="8E9EA7FA" w:tentative="1">
      <w:start w:val="1"/>
      <w:numFmt w:val="bullet"/>
      <w:lvlText w:val="•"/>
      <w:lvlJc w:val="left"/>
      <w:pPr>
        <w:tabs>
          <w:tab w:val="num" w:pos="4320"/>
        </w:tabs>
        <w:ind w:left="4320" w:hanging="360"/>
      </w:pPr>
      <w:rPr>
        <w:rFonts w:ascii="Times New Roman" w:hAnsi="Times New Roman" w:hint="default"/>
      </w:rPr>
    </w:lvl>
    <w:lvl w:ilvl="6" w:tplc="A8DA46FA" w:tentative="1">
      <w:start w:val="1"/>
      <w:numFmt w:val="bullet"/>
      <w:lvlText w:val="•"/>
      <w:lvlJc w:val="left"/>
      <w:pPr>
        <w:tabs>
          <w:tab w:val="num" w:pos="5040"/>
        </w:tabs>
        <w:ind w:left="5040" w:hanging="360"/>
      </w:pPr>
      <w:rPr>
        <w:rFonts w:ascii="Times New Roman" w:hAnsi="Times New Roman" w:hint="default"/>
      </w:rPr>
    </w:lvl>
    <w:lvl w:ilvl="7" w:tplc="3B243874" w:tentative="1">
      <w:start w:val="1"/>
      <w:numFmt w:val="bullet"/>
      <w:lvlText w:val="•"/>
      <w:lvlJc w:val="left"/>
      <w:pPr>
        <w:tabs>
          <w:tab w:val="num" w:pos="5760"/>
        </w:tabs>
        <w:ind w:left="5760" w:hanging="360"/>
      </w:pPr>
      <w:rPr>
        <w:rFonts w:ascii="Times New Roman" w:hAnsi="Times New Roman" w:hint="default"/>
      </w:rPr>
    </w:lvl>
    <w:lvl w:ilvl="8" w:tplc="2EEEE3D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5"/>
  </w:num>
  <w:num w:numId="4">
    <w:abstractNumId w:val="7"/>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2A"/>
    <w:rsid w:val="00096A13"/>
    <w:rsid w:val="0009772A"/>
    <w:rsid w:val="001E4C63"/>
    <w:rsid w:val="001F0A45"/>
    <w:rsid w:val="003514B6"/>
    <w:rsid w:val="003C117F"/>
    <w:rsid w:val="00842CE2"/>
    <w:rsid w:val="00940FF8"/>
    <w:rsid w:val="0099442B"/>
    <w:rsid w:val="00C62126"/>
    <w:rsid w:val="00C83758"/>
    <w:rsid w:val="00E217B3"/>
    <w:rsid w:val="00E73B8E"/>
    <w:rsid w:val="00F0659D"/>
    <w:rsid w:val="00F731AA"/>
    <w:rsid w:val="00F87ECF"/>
    <w:rsid w:val="00FE3C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2A"/>
    <w:rPr>
      <w:rFonts w:ascii="Tahoma" w:hAnsi="Tahoma" w:cs="Tahoma"/>
      <w:sz w:val="16"/>
      <w:szCs w:val="16"/>
    </w:rPr>
  </w:style>
  <w:style w:type="character" w:customStyle="1" w:styleId="BalloonTextChar">
    <w:name w:val="Balloon Text Char"/>
    <w:basedOn w:val="DefaultParagraphFont"/>
    <w:link w:val="BalloonText"/>
    <w:uiPriority w:val="99"/>
    <w:semiHidden/>
    <w:rsid w:val="0009772A"/>
    <w:rPr>
      <w:rFonts w:ascii="Tahoma" w:hAnsi="Tahoma" w:cs="Tahoma"/>
      <w:sz w:val="16"/>
      <w:szCs w:val="16"/>
      <w:lang w:val="en-GB"/>
    </w:rPr>
  </w:style>
  <w:style w:type="paragraph" w:styleId="ListParagraph">
    <w:name w:val="List Paragraph"/>
    <w:basedOn w:val="Normal"/>
    <w:uiPriority w:val="34"/>
    <w:qFormat/>
    <w:rsid w:val="0009772A"/>
    <w:pPr>
      <w:ind w:left="720"/>
      <w:contextualSpacing/>
    </w:pPr>
  </w:style>
  <w:style w:type="paragraph" w:styleId="Header">
    <w:name w:val="header"/>
    <w:basedOn w:val="Normal"/>
    <w:link w:val="HeaderChar"/>
    <w:uiPriority w:val="99"/>
    <w:unhideWhenUsed/>
    <w:rsid w:val="0009772A"/>
    <w:pPr>
      <w:tabs>
        <w:tab w:val="center" w:pos="4513"/>
        <w:tab w:val="right" w:pos="9026"/>
      </w:tabs>
    </w:pPr>
  </w:style>
  <w:style w:type="character" w:customStyle="1" w:styleId="HeaderChar">
    <w:name w:val="Header Char"/>
    <w:basedOn w:val="DefaultParagraphFont"/>
    <w:link w:val="Header"/>
    <w:uiPriority w:val="99"/>
    <w:rsid w:val="0009772A"/>
    <w:rPr>
      <w:lang w:val="en-GB"/>
    </w:rPr>
  </w:style>
  <w:style w:type="paragraph" w:styleId="Footer">
    <w:name w:val="footer"/>
    <w:basedOn w:val="Normal"/>
    <w:link w:val="FooterChar"/>
    <w:uiPriority w:val="99"/>
    <w:unhideWhenUsed/>
    <w:rsid w:val="0009772A"/>
    <w:pPr>
      <w:tabs>
        <w:tab w:val="center" w:pos="4513"/>
        <w:tab w:val="right" w:pos="9026"/>
      </w:tabs>
    </w:pPr>
  </w:style>
  <w:style w:type="character" w:customStyle="1" w:styleId="FooterChar">
    <w:name w:val="Footer Char"/>
    <w:basedOn w:val="DefaultParagraphFont"/>
    <w:link w:val="Footer"/>
    <w:uiPriority w:val="99"/>
    <w:rsid w:val="0009772A"/>
    <w:rPr>
      <w:lang w:val="en-GB"/>
    </w:rPr>
  </w:style>
  <w:style w:type="paragraph" w:customStyle="1" w:styleId="Default">
    <w:name w:val="Default"/>
    <w:rsid w:val="00096A13"/>
    <w:pPr>
      <w:autoSpaceDE w:val="0"/>
      <w:autoSpaceDN w:val="0"/>
      <w:adjustRightInd w:val="0"/>
    </w:pPr>
    <w:rPr>
      <w:rFonts w:ascii="Gotham Light" w:hAnsi="Gotham Light" w:cs="Gotham Light"/>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2A"/>
    <w:rPr>
      <w:rFonts w:ascii="Tahoma" w:hAnsi="Tahoma" w:cs="Tahoma"/>
      <w:sz w:val="16"/>
      <w:szCs w:val="16"/>
    </w:rPr>
  </w:style>
  <w:style w:type="character" w:customStyle="1" w:styleId="BalloonTextChar">
    <w:name w:val="Balloon Text Char"/>
    <w:basedOn w:val="DefaultParagraphFont"/>
    <w:link w:val="BalloonText"/>
    <w:uiPriority w:val="99"/>
    <w:semiHidden/>
    <w:rsid w:val="0009772A"/>
    <w:rPr>
      <w:rFonts w:ascii="Tahoma" w:hAnsi="Tahoma" w:cs="Tahoma"/>
      <w:sz w:val="16"/>
      <w:szCs w:val="16"/>
      <w:lang w:val="en-GB"/>
    </w:rPr>
  </w:style>
  <w:style w:type="paragraph" w:styleId="ListParagraph">
    <w:name w:val="List Paragraph"/>
    <w:basedOn w:val="Normal"/>
    <w:uiPriority w:val="34"/>
    <w:qFormat/>
    <w:rsid w:val="0009772A"/>
    <w:pPr>
      <w:ind w:left="720"/>
      <w:contextualSpacing/>
    </w:pPr>
  </w:style>
  <w:style w:type="paragraph" w:styleId="Header">
    <w:name w:val="header"/>
    <w:basedOn w:val="Normal"/>
    <w:link w:val="HeaderChar"/>
    <w:uiPriority w:val="99"/>
    <w:unhideWhenUsed/>
    <w:rsid w:val="0009772A"/>
    <w:pPr>
      <w:tabs>
        <w:tab w:val="center" w:pos="4513"/>
        <w:tab w:val="right" w:pos="9026"/>
      </w:tabs>
    </w:pPr>
  </w:style>
  <w:style w:type="character" w:customStyle="1" w:styleId="HeaderChar">
    <w:name w:val="Header Char"/>
    <w:basedOn w:val="DefaultParagraphFont"/>
    <w:link w:val="Header"/>
    <w:uiPriority w:val="99"/>
    <w:rsid w:val="0009772A"/>
    <w:rPr>
      <w:lang w:val="en-GB"/>
    </w:rPr>
  </w:style>
  <w:style w:type="paragraph" w:styleId="Footer">
    <w:name w:val="footer"/>
    <w:basedOn w:val="Normal"/>
    <w:link w:val="FooterChar"/>
    <w:uiPriority w:val="99"/>
    <w:unhideWhenUsed/>
    <w:rsid w:val="0009772A"/>
    <w:pPr>
      <w:tabs>
        <w:tab w:val="center" w:pos="4513"/>
        <w:tab w:val="right" w:pos="9026"/>
      </w:tabs>
    </w:pPr>
  </w:style>
  <w:style w:type="character" w:customStyle="1" w:styleId="FooterChar">
    <w:name w:val="Footer Char"/>
    <w:basedOn w:val="DefaultParagraphFont"/>
    <w:link w:val="Footer"/>
    <w:uiPriority w:val="99"/>
    <w:rsid w:val="0009772A"/>
    <w:rPr>
      <w:lang w:val="en-GB"/>
    </w:rPr>
  </w:style>
  <w:style w:type="paragraph" w:customStyle="1" w:styleId="Default">
    <w:name w:val="Default"/>
    <w:rsid w:val="00096A13"/>
    <w:pPr>
      <w:autoSpaceDE w:val="0"/>
      <w:autoSpaceDN w:val="0"/>
      <w:adjustRightInd w:val="0"/>
    </w:pPr>
    <w:rPr>
      <w:rFonts w:ascii="Gotham Light" w:hAnsi="Gotham Light" w:cs="Gotham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9367">
      <w:bodyDiv w:val="1"/>
      <w:marLeft w:val="0"/>
      <w:marRight w:val="0"/>
      <w:marTop w:val="0"/>
      <w:marBottom w:val="0"/>
      <w:divBdr>
        <w:top w:val="none" w:sz="0" w:space="0" w:color="auto"/>
        <w:left w:val="none" w:sz="0" w:space="0" w:color="auto"/>
        <w:bottom w:val="none" w:sz="0" w:space="0" w:color="auto"/>
        <w:right w:val="none" w:sz="0" w:space="0" w:color="auto"/>
      </w:divBdr>
      <w:divsChild>
        <w:div w:id="443158228">
          <w:marLeft w:val="547"/>
          <w:marRight w:val="0"/>
          <w:marTop w:val="154"/>
          <w:marBottom w:val="0"/>
          <w:divBdr>
            <w:top w:val="none" w:sz="0" w:space="0" w:color="auto"/>
            <w:left w:val="none" w:sz="0" w:space="0" w:color="auto"/>
            <w:bottom w:val="none" w:sz="0" w:space="0" w:color="auto"/>
            <w:right w:val="none" w:sz="0" w:space="0" w:color="auto"/>
          </w:divBdr>
        </w:div>
        <w:div w:id="1835417150">
          <w:marLeft w:val="547"/>
          <w:marRight w:val="0"/>
          <w:marTop w:val="154"/>
          <w:marBottom w:val="0"/>
          <w:divBdr>
            <w:top w:val="none" w:sz="0" w:space="0" w:color="auto"/>
            <w:left w:val="none" w:sz="0" w:space="0" w:color="auto"/>
            <w:bottom w:val="none" w:sz="0" w:space="0" w:color="auto"/>
            <w:right w:val="none" w:sz="0" w:space="0" w:color="auto"/>
          </w:divBdr>
        </w:div>
        <w:div w:id="1142960168">
          <w:marLeft w:val="1166"/>
          <w:marRight w:val="0"/>
          <w:marTop w:val="134"/>
          <w:marBottom w:val="0"/>
          <w:divBdr>
            <w:top w:val="none" w:sz="0" w:space="0" w:color="auto"/>
            <w:left w:val="none" w:sz="0" w:space="0" w:color="auto"/>
            <w:bottom w:val="none" w:sz="0" w:space="0" w:color="auto"/>
            <w:right w:val="none" w:sz="0" w:space="0" w:color="auto"/>
          </w:divBdr>
        </w:div>
      </w:divsChild>
    </w:div>
    <w:div w:id="159277231">
      <w:bodyDiv w:val="1"/>
      <w:marLeft w:val="0"/>
      <w:marRight w:val="0"/>
      <w:marTop w:val="0"/>
      <w:marBottom w:val="0"/>
      <w:divBdr>
        <w:top w:val="none" w:sz="0" w:space="0" w:color="auto"/>
        <w:left w:val="none" w:sz="0" w:space="0" w:color="auto"/>
        <w:bottom w:val="none" w:sz="0" w:space="0" w:color="auto"/>
        <w:right w:val="none" w:sz="0" w:space="0" w:color="auto"/>
      </w:divBdr>
      <w:divsChild>
        <w:div w:id="292715947">
          <w:marLeft w:val="547"/>
          <w:marRight w:val="0"/>
          <w:marTop w:val="154"/>
          <w:marBottom w:val="0"/>
          <w:divBdr>
            <w:top w:val="none" w:sz="0" w:space="0" w:color="auto"/>
            <w:left w:val="none" w:sz="0" w:space="0" w:color="auto"/>
            <w:bottom w:val="none" w:sz="0" w:space="0" w:color="auto"/>
            <w:right w:val="none" w:sz="0" w:space="0" w:color="auto"/>
          </w:divBdr>
        </w:div>
        <w:div w:id="1098215727">
          <w:marLeft w:val="1166"/>
          <w:marRight w:val="0"/>
          <w:marTop w:val="134"/>
          <w:marBottom w:val="0"/>
          <w:divBdr>
            <w:top w:val="none" w:sz="0" w:space="0" w:color="auto"/>
            <w:left w:val="none" w:sz="0" w:space="0" w:color="auto"/>
            <w:bottom w:val="none" w:sz="0" w:space="0" w:color="auto"/>
            <w:right w:val="none" w:sz="0" w:space="0" w:color="auto"/>
          </w:divBdr>
        </w:div>
        <w:div w:id="1264725466">
          <w:marLeft w:val="1166"/>
          <w:marRight w:val="0"/>
          <w:marTop w:val="134"/>
          <w:marBottom w:val="0"/>
          <w:divBdr>
            <w:top w:val="none" w:sz="0" w:space="0" w:color="auto"/>
            <w:left w:val="none" w:sz="0" w:space="0" w:color="auto"/>
            <w:bottom w:val="none" w:sz="0" w:space="0" w:color="auto"/>
            <w:right w:val="none" w:sz="0" w:space="0" w:color="auto"/>
          </w:divBdr>
        </w:div>
        <w:div w:id="1196121703">
          <w:marLeft w:val="1166"/>
          <w:marRight w:val="0"/>
          <w:marTop w:val="134"/>
          <w:marBottom w:val="0"/>
          <w:divBdr>
            <w:top w:val="none" w:sz="0" w:space="0" w:color="auto"/>
            <w:left w:val="none" w:sz="0" w:space="0" w:color="auto"/>
            <w:bottom w:val="none" w:sz="0" w:space="0" w:color="auto"/>
            <w:right w:val="none" w:sz="0" w:space="0" w:color="auto"/>
          </w:divBdr>
        </w:div>
        <w:div w:id="2125078601">
          <w:marLeft w:val="1166"/>
          <w:marRight w:val="0"/>
          <w:marTop w:val="134"/>
          <w:marBottom w:val="0"/>
          <w:divBdr>
            <w:top w:val="none" w:sz="0" w:space="0" w:color="auto"/>
            <w:left w:val="none" w:sz="0" w:space="0" w:color="auto"/>
            <w:bottom w:val="none" w:sz="0" w:space="0" w:color="auto"/>
            <w:right w:val="none" w:sz="0" w:space="0" w:color="auto"/>
          </w:divBdr>
        </w:div>
        <w:div w:id="530537091">
          <w:marLeft w:val="1166"/>
          <w:marRight w:val="0"/>
          <w:marTop w:val="134"/>
          <w:marBottom w:val="0"/>
          <w:divBdr>
            <w:top w:val="none" w:sz="0" w:space="0" w:color="auto"/>
            <w:left w:val="none" w:sz="0" w:space="0" w:color="auto"/>
            <w:bottom w:val="none" w:sz="0" w:space="0" w:color="auto"/>
            <w:right w:val="none" w:sz="0" w:space="0" w:color="auto"/>
          </w:divBdr>
        </w:div>
      </w:divsChild>
    </w:div>
    <w:div w:id="497234924">
      <w:bodyDiv w:val="1"/>
      <w:marLeft w:val="0"/>
      <w:marRight w:val="0"/>
      <w:marTop w:val="0"/>
      <w:marBottom w:val="0"/>
      <w:divBdr>
        <w:top w:val="none" w:sz="0" w:space="0" w:color="auto"/>
        <w:left w:val="none" w:sz="0" w:space="0" w:color="auto"/>
        <w:bottom w:val="none" w:sz="0" w:space="0" w:color="auto"/>
        <w:right w:val="none" w:sz="0" w:space="0" w:color="auto"/>
      </w:divBdr>
      <w:divsChild>
        <w:div w:id="325210537">
          <w:marLeft w:val="547"/>
          <w:marRight w:val="0"/>
          <w:marTop w:val="154"/>
          <w:marBottom w:val="0"/>
          <w:divBdr>
            <w:top w:val="none" w:sz="0" w:space="0" w:color="auto"/>
            <w:left w:val="none" w:sz="0" w:space="0" w:color="auto"/>
            <w:bottom w:val="none" w:sz="0" w:space="0" w:color="auto"/>
            <w:right w:val="none" w:sz="0" w:space="0" w:color="auto"/>
          </w:divBdr>
        </w:div>
        <w:div w:id="857934105">
          <w:marLeft w:val="547"/>
          <w:marRight w:val="0"/>
          <w:marTop w:val="154"/>
          <w:marBottom w:val="0"/>
          <w:divBdr>
            <w:top w:val="none" w:sz="0" w:space="0" w:color="auto"/>
            <w:left w:val="none" w:sz="0" w:space="0" w:color="auto"/>
            <w:bottom w:val="none" w:sz="0" w:space="0" w:color="auto"/>
            <w:right w:val="none" w:sz="0" w:space="0" w:color="auto"/>
          </w:divBdr>
        </w:div>
      </w:divsChild>
    </w:div>
    <w:div w:id="682323586">
      <w:bodyDiv w:val="1"/>
      <w:marLeft w:val="0"/>
      <w:marRight w:val="0"/>
      <w:marTop w:val="0"/>
      <w:marBottom w:val="0"/>
      <w:divBdr>
        <w:top w:val="none" w:sz="0" w:space="0" w:color="auto"/>
        <w:left w:val="none" w:sz="0" w:space="0" w:color="auto"/>
        <w:bottom w:val="none" w:sz="0" w:space="0" w:color="auto"/>
        <w:right w:val="none" w:sz="0" w:space="0" w:color="auto"/>
      </w:divBdr>
      <w:divsChild>
        <w:div w:id="541671783">
          <w:marLeft w:val="547"/>
          <w:marRight w:val="0"/>
          <w:marTop w:val="134"/>
          <w:marBottom w:val="0"/>
          <w:divBdr>
            <w:top w:val="none" w:sz="0" w:space="0" w:color="auto"/>
            <w:left w:val="none" w:sz="0" w:space="0" w:color="auto"/>
            <w:bottom w:val="none" w:sz="0" w:space="0" w:color="auto"/>
            <w:right w:val="none" w:sz="0" w:space="0" w:color="auto"/>
          </w:divBdr>
        </w:div>
        <w:div w:id="135147108">
          <w:marLeft w:val="547"/>
          <w:marRight w:val="0"/>
          <w:marTop w:val="134"/>
          <w:marBottom w:val="0"/>
          <w:divBdr>
            <w:top w:val="none" w:sz="0" w:space="0" w:color="auto"/>
            <w:left w:val="none" w:sz="0" w:space="0" w:color="auto"/>
            <w:bottom w:val="none" w:sz="0" w:space="0" w:color="auto"/>
            <w:right w:val="none" w:sz="0" w:space="0" w:color="auto"/>
          </w:divBdr>
        </w:div>
        <w:div w:id="214202646">
          <w:marLeft w:val="547"/>
          <w:marRight w:val="0"/>
          <w:marTop w:val="134"/>
          <w:marBottom w:val="0"/>
          <w:divBdr>
            <w:top w:val="none" w:sz="0" w:space="0" w:color="auto"/>
            <w:left w:val="none" w:sz="0" w:space="0" w:color="auto"/>
            <w:bottom w:val="none" w:sz="0" w:space="0" w:color="auto"/>
            <w:right w:val="none" w:sz="0" w:space="0" w:color="auto"/>
          </w:divBdr>
        </w:div>
        <w:div w:id="115961882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 B</dc:creator>
  <cp:lastModifiedBy>AD</cp:lastModifiedBy>
  <cp:revision>2</cp:revision>
  <cp:lastPrinted>2014-11-05T13:52:00Z</cp:lastPrinted>
  <dcterms:created xsi:type="dcterms:W3CDTF">2014-12-16T14:55:00Z</dcterms:created>
  <dcterms:modified xsi:type="dcterms:W3CDTF">2014-12-16T14:55:00Z</dcterms:modified>
</cp:coreProperties>
</file>