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3C587B" w14:textId="77777777" w:rsidR="00AF3ACC" w:rsidRPr="00AF3ACC" w:rsidRDefault="00AF3ACC" w:rsidP="00AF3ACC">
      <w:pPr>
        <w:pStyle w:val="ListParagraph"/>
        <w:ind w:left="0"/>
        <w:rPr>
          <w:rFonts w:ascii="Arial" w:eastAsia="Times New Roman" w:hAnsi="Arial" w:cs="Arial"/>
          <w:b/>
          <w:bCs/>
          <w:sz w:val="28"/>
          <w:szCs w:val="28"/>
          <w:lang w:eastAsia="en-GB"/>
        </w:rPr>
      </w:pPr>
      <w:r w:rsidRPr="00AF3ACC">
        <w:rPr>
          <w:rFonts w:ascii="Arial" w:eastAsia="MS Mincho" w:hAnsi="Arial" w:cs="Arial"/>
          <w:b/>
          <w:bCs/>
          <w:sz w:val="28"/>
          <w:szCs w:val="28"/>
          <w:lang w:eastAsia="ja-JP"/>
        </w:rPr>
        <w:t>EVICTED – Loss of Homes and Evictions across Europe (2018)</w:t>
      </w:r>
      <w:r w:rsidRPr="00AF3ACC">
        <w:rPr>
          <w:rFonts w:ascii="Arial" w:eastAsia="Times New Roman" w:hAnsi="Arial" w:cs="Arial"/>
          <w:b/>
          <w:bCs/>
          <w:sz w:val="28"/>
          <w:szCs w:val="28"/>
          <w:lang w:eastAsia="en-GB"/>
        </w:rPr>
        <w:t xml:space="preserve"> A Comparative Legal and Policy Examination Cheltenham: Edward Elgar. </w:t>
      </w:r>
      <w:r w:rsidR="009E4021">
        <w:fldChar w:fldCharType="begin"/>
      </w:r>
      <w:r w:rsidR="009E4021">
        <w:instrText xml:space="preserve"> HYPERLINK "https://www.e-elgar.com/shop/loss-of-homes-and-evictions-across-europe" </w:instrText>
      </w:r>
      <w:r w:rsidR="009E4021">
        <w:fldChar w:fldCharType="separate"/>
      </w:r>
      <w:r w:rsidRPr="00AF3ACC">
        <w:rPr>
          <w:rStyle w:val="Hyperlink"/>
          <w:rFonts w:ascii="Arial" w:eastAsia="Times New Roman" w:hAnsi="Arial" w:cs="Arial"/>
          <w:b/>
          <w:bCs/>
          <w:sz w:val="28"/>
          <w:szCs w:val="28"/>
          <w:lang w:eastAsia="en-GB"/>
        </w:rPr>
        <w:t>https://www.e-elgar.com/shop/loss-of-homes-and-evictions-across-europe</w:t>
      </w:r>
      <w:r w:rsidR="009E4021">
        <w:rPr>
          <w:rStyle w:val="Hyperlink"/>
          <w:rFonts w:ascii="Arial" w:eastAsia="Times New Roman" w:hAnsi="Arial" w:cs="Arial"/>
          <w:b/>
          <w:bCs/>
          <w:sz w:val="28"/>
          <w:szCs w:val="28"/>
          <w:lang w:eastAsia="en-GB"/>
        </w:rPr>
        <w:fldChar w:fldCharType="end"/>
      </w:r>
      <w:r w:rsidRPr="00AF3ACC">
        <w:rPr>
          <w:rStyle w:val="Hyperlink"/>
          <w:rFonts w:ascii="Arial" w:eastAsia="Times New Roman" w:hAnsi="Arial" w:cs="Arial"/>
          <w:b/>
          <w:bCs/>
          <w:sz w:val="28"/>
          <w:szCs w:val="28"/>
          <w:lang w:eastAsia="en-GB"/>
        </w:rPr>
        <w:t xml:space="preserve"> </w:t>
      </w:r>
      <w:r w:rsidRPr="00AF3ACC">
        <w:rPr>
          <w:rStyle w:val="Hyperlink"/>
          <w:rFonts w:ascii="Arial" w:eastAsia="Times New Roman" w:hAnsi="Arial" w:cs="Arial"/>
          <w:b/>
          <w:bCs/>
          <w:color w:val="000000"/>
          <w:sz w:val="28"/>
          <w:szCs w:val="28"/>
          <w:lang w:eastAsia="en-GB"/>
        </w:rPr>
        <w:t>379pp +xiv.</w:t>
      </w:r>
    </w:p>
    <w:p w14:paraId="6A1B1D4E" w14:textId="77777777" w:rsidR="00AF3ACC" w:rsidRPr="00AF3ACC" w:rsidRDefault="00AF3ACC" w:rsidP="00395E14">
      <w:pPr>
        <w:spacing w:before="0" w:after="120" w:line="240" w:lineRule="auto"/>
        <w:rPr>
          <w:rFonts w:ascii="Arial" w:eastAsia="MS Mincho" w:hAnsi="Arial" w:cs="Arial"/>
          <w:sz w:val="28"/>
          <w:szCs w:val="28"/>
          <w:lang w:eastAsia="ja-JP"/>
        </w:rPr>
      </w:pPr>
    </w:p>
    <w:p w14:paraId="2D402323" w14:textId="77777777" w:rsidR="00AF3ACC" w:rsidRPr="008B1CB3" w:rsidRDefault="00AF3ACC" w:rsidP="00AF3ACC">
      <w:pPr>
        <w:pStyle w:val="ListParagraph"/>
        <w:ind w:left="0"/>
        <w:rPr>
          <w:rFonts w:ascii="Arial" w:eastAsia="Times New Roman" w:hAnsi="Arial" w:cs="Arial"/>
          <w:lang w:eastAsia="en-GB"/>
        </w:rPr>
      </w:pPr>
      <w:r w:rsidRPr="008B1CB3">
        <w:rPr>
          <w:rFonts w:ascii="Arial" w:eastAsia="Times New Roman" w:hAnsi="Arial" w:cs="Arial"/>
          <w:lang w:eastAsia="en-GB"/>
        </w:rPr>
        <w:t xml:space="preserve">Kenna, P., </w:t>
      </w:r>
      <w:proofErr w:type="spellStart"/>
      <w:r w:rsidRPr="008B1CB3">
        <w:rPr>
          <w:rFonts w:ascii="Arial" w:eastAsia="Times New Roman" w:hAnsi="Arial" w:cs="Arial"/>
          <w:lang w:eastAsia="en-GB"/>
        </w:rPr>
        <w:t>Nasarre</w:t>
      </w:r>
      <w:proofErr w:type="spellEnd"/>
      <w:r w:rsidRPr="008B1CB3">
        <w:rPr>
          <w:rFonts w:ascii="Arial" w:eastAsia="Times New Roman" w:hAnsi="Arial" w:cs="Arial"/>
          <w:lang w:eastAsia="en-GB"/>
        </w:rPr>
        <w:t xml:space="preserve">-Aznar, S., Sparkes, P. &amp; Schmid, C.U (Eds.). </w:t>
      </w:r>
    </w:p>
    <w:p w14:paraId="1090BB7A" w14:textId="77777777" w:rsidR="00AF3ACC" w:rsidRPr="006E160F" w:rsidRDefault="00AF3ACC" w:rsidP="00395E14">
      <w:pPr>
        <w:spacing w:before="0" w:after="120" w:line="240" w:lineRule="auto"/>
        <w:rPr>
          <w:rFonts w:eastAsia="MS Mincho"/>
          <w:b/>
          <w:bCs/>
          <w:szCs w:val="24"/>
          <w:lang w:eastAsia="ja-JP"/>
        </w:rPr>
      </w:pPr>
    </w:p>
    <w:p w14:paraId="1B74EEEB" w14:textId="77777777" w:rsidR="00AF3ACC" w:rsidRPr="008B1CB3" w:rsidRDefault="00AF3ACC" w:rsidP="00AF3ACC">
      <w:pPr>
        <w:spacing w:before="0" w:after="0" w:line="240" w:lineRule="auto"/>
        <w:rPr>
          <w:szCs w:val="24"/>
          <w:lang w:val="en-IE" w:eastAsia="en-GB"/>
        </w:rPr>
      </w:pPr>
      <w:r w:rsidRPr="000733FD">
        <w:rPr>
          <w:rFonts w:ascii="Arial" w:hAnsi="Arial" w:cs="Arial"/>
          <w:color w:val="333333"/>
          <w:szCs w:val="24"/>
          <w:shd w:val="clear" w:color="auto" w:fill="FFFFFF"/>
          <w:lang w:val="en-IE" w:eastAsia="en-GB"/>
        </w:rPr>
        <w:t xml:space="preserve">The loss of a </w:t>
      </w:r>
      <w:r w:rsidRPr="008B1CB3">
        <w:rPr>
          <w:rFonts w:ascii="Arial" w:hAnsi="Arial" w:cs="Arial"/>
          <w:color w:val="333333"/>
          <w:szCs w:val="24"/>
          <w:shd w:val="clear" w:color="auto" w:fill="FFFFFF"/>
          <w:lang w:val="en-IE" w:eastAsia="en-GB"/>
        </w:rPr>
        <w:t xml:space="preserve">home can lead to major violations of a person’s dignity and human rights. Yet, evictions take place </w:t>
      </w:r>
      <w:proofErr w:type="spellStart"/>
      <w:r w:rsidRPr="008B1CB3">
        <w:rPr>
          <w:rFonts w:ascii="Arial" w:hAnsi="Arial" w:cs="Arial"/>
          <w:color w:val="333333"/>
          <w:szCs w:val="24"/>
          <w:shd w:val="clear" w:color="auto" w:fill="FFFFFF"/>
          <w:lang w:val="en-IE" w:eastAsia="en-GB"/>
        </w:rPr>
        <w:t>everyday</w:t>
      </w:r>
      <w:proofErr w:type="spellEnd"/>
      <w:r w:rsidRPr="008B1CB3">
        <w:rPr>
          <w:rFonts w:ascii="Arial" w:hAnsi="Arial" w:cs="Arial"/>
          <w:color w:val="333333"/>
          <w:szCs w:val="24"/>
          <w:shd w:val="clear" w:color="auto" w:fill="FFFFFF"/>
          <w:lang w:val="en-IE" w:eastAsia="en-GB"/>
        </w:rPr>
        <w:t xml:space="preserve"> in all countries across Europe. This book provides a comparative assessment of human rights, administrative, procedural and public policy norms, in the context of eviction, across a number of European jurisdictions. Through this comparison the book exposes the emergence of consistent, Europe-wide standards and norms.</w:t>
      </w:r>
      <w:r w:rsidRPr="008B1CB3">
        <w:rPr>
          <w:rFonts w:ascii="Arial" w:hAnsi="Arial" w:cs="Arial"/>
          <w:color w:val="333333"/>
          <w:szCs w:val="24"/>
          <w:lang w:val="en-IE" w:eastAsia="en-GB"/>
        </w:rPr>
        <w:br/>
      </w:r>
      <w:r w:rsidRPr="008B1CB3">
        <w:rPr>
          <w:rFonts w:ascii="Arial" w:hAnsi="Arial" w:cs="Arial"/>
          <w:color w:val="333333"/>
          <w:szCs w:val="24"/>
          <w:lang w:val="en-IE" w:eastAsia="en-GB"/>
        </w:rPr>
        <w:br/>
      </w:r>
      <w:r w:rsidRPr="008B1CB3">
        <w:rPr>
          <w:rFonts w:ascii="Arial" w:hAnsi="Arial" w:cs="Arial"/>
          <w:color w:val="333333"/>
          <w:szCs w:val="24"/>
          <w:shd w:val="clear" w:color="auto" w:fill="FFFFFF"/>
          <w:lang w:val="en-IE" w:eastAsia="en-GB"/>
        </w:rPr>
        <w:t xml:space="preserve">With contributions from experts across Europe, the chapters provide an assessment of eviction procedures in 11 jurisdictions, including Germany, France, Spain, the Netherlands and the United Kingdom. Each chapter examines a number of factors relating to evictions in the respective jurisdiction, such as, the human rights and legal framework, nature and extent of evictions taking place, risk factors leading to evictions and relevant best practice guidance. </w:t>
      </w:r>
      <w:proofErr w:type="spellStart"/>
      <w:r w:rsidRPr="008B1CB3">
        <w:rPr>
          <w:rFonts w:ascii="Arial" w:hAnsi="Arial" w:cs="Arial"/>
          <w:color w:val="333333"/>
          <w:szCs w:val="24"/>
          <w:shd w:val="clear" w:color="auto" w:fill="FFFFFF"/>
          <w:lang w:val="en-IE" w:eastAsia="en-GB"/>
        </w:rPr>
        <w:t>All together</w:t>
      </w:r>
      <w:proofErr w:type="spellEnd"/>
      <w:r w:rsidRPr="008B1CB3">
        <w:rPr>
          <w:rFonts w:ascii="Arial" w:hAnsi="Arial" w:cs="Arial"/>
          <w:color w:val="333333"/>
          <w:szCs w:val="24"/>
          <w:shd w:val="clear" w:color="auto" w:fill="FFFFFF"/>
          <w:lang w:val="en-IE" w:eastAsia="en-GB"/>
        </w:rPr>
        <w:t>, this book will make a significant contribution to the understanding of the similarities and differences between eviction policies across European states.</w:t>
      </w:r>
      <w:r w:rsidRPr="008B1CB3">
        <w:rPr>
          <w:rFonts w:ascii="Arial" w:hAnsi="Arial" w:cs="Arial"/>
          <w:color w:val="333333"/>
          <w:szCs w:val="24"/>
          <w:lang w:val="en-IE" w:eastAsia="en-GB"/>
        </w:rPr>
        <w:br/>
      </w:r>
      <w:r w:rsidRPr="008B1CB3">
        <w:rPr>
          <w:rFonts w:ascii="Arial" w:hAnsi="Arial" w:cs="Arial"/>
          <w:color w:val="333333"/>
          <w:szCs w:val="24"/>
          <w:lang w:val="en-IE" w:eastAsia="en-GB"/>
        </w:rPr>
        <w:br/>
      </w:r>
      <w:r w:rsidRPr="008B1CB3">
        <w:rPr>
          <w:rFonts w:ascii="Arial" w:hAnsi="Arial" w:cs="Arial"/>
          <w:color w:val="333333"/>
          <w:szCs w:val="24"/>
          <w:shd w:val="clear" w:color="auto" w:fill="FFFFFF"/>
          <w:lang w:val="en-IE" w:eastAsia="en-GB"/>
        </w:rPr>
        <w:t>As the first work of its kind to provide an in-depth comparison of eviction policies across Europe, Loss of Homes and Evictions Across Europe will be of great interest to those who are researching European housing law and human rights law and policy. Housing law and public policy makers, and those working within associated European institutions, will also find the data and accompanying analysis invaluable for informing their work.</w:t>
      </w:r>
    </w:p>
    <w:p w14:paraId="6FFE7EAA" w14:textId="77777777" w:rsidR="00AF3ACC" w:rsidRPr="008B1CB3" w:rsidRDefault="00AF3ACC" w:rsidP="00395E14">
      <w:pPr>
        <w:spacing w:before="0" w:after="120" w:line="240" w:lineRule="auto"/>
        <w:rPr>
          <w:rFonts w:eastAsia="MS Mincho"/>
          <w:b/>
          <w:bCs/>
          <w:szCs w:val="24"/>
          <w:lang w:eastAsia="ja-JP"/>
        </w:rPr>
      </w:pPr>
    </w:p>
    <w:p w14:paraId="114E4309" w14:textId="06298F60" w:rsidR="00890C4C" w:rsidRPr="00AF3ACC" w:rsidRDefault="00AF3ACC" w:rsidP="00AF3ACC">
      <w:pPr>
        <w:spacing w:before="0" w:after="120" w:line="240" w:lineRule="auto"/>
        <w:rPr>
          <w:rFonts w:eastAsia="MS Mincho"/>
          <w:b/>
          <w:bCs/>
          <w:szCs w:val="24"/>
          <w:lang w:eastAsia="ja-JP"/>
        </w:rPr>
      </w:pPr>
      <w:r>
        <w:rPr>
          <w:rFonts w:eastAsia="MS Mincho"/>
          <w:b/>
          <w:bCs/>
          <w:szCs w:val="24"/>
          <w:lang w:eastAsia="ja-JP"/>
        </w:rPr>
        <w:br w:type="page"/>
      </w:r>
      <w:r w:rsidR="008B1CB3" w:rsidRPr="008B1CB3">
        <w:rPr>
          <w:rFonts w:eastAsia="MS Mincho"/>
          <w:b/>
          <w:bCs/>
          <w:sz w:val="32"/>
          <w:szCs w:val="32"/>
          <w:lang w:eastAsia="ja-JP"/>
        </w:rPr>
        <w:lastRenderedPageBreak/>
        <w:t>I</w:t>
      </w:r>
      <w:r w:rsidR="00890C4C" w:rsidRPr="008B1CB3">
        <w:rPr>
          <w:rFonts w:eastAsia="MS Mincho"/>
          <w:b/>
          <w:bCs/>
          <w:sz w:val="32"/>
          <w:szCs w:val="32"/>
          <w:lang w:eastAsia="ja-JP"/>
        </w:rPr>
        <w:t>ntroduction</w:t>
      </w:r>
      <w:r w:rsidR="006E160F" w:rsidRPr="008B1CB3">
        <w:rPr>
          <w:rFonts w:eastAsia="MS Mincho"/>
          <w:b/>
          <w:bCs/>
          <w:szCs w:val="24"/>
          <w:lang w:eastAsia="ja-JP"/>
        </w:rPr>
        <w:t xml:space="preserve"> (pre-publication version)</w:t>
      </w:r>
    </w:p>
    <w:p w14:paraId="026E6CBE" w14:textId="77777777" w:rsidR="001A4592" w:rsidRPr="007D4DDF" w:rsidRDefault="00586E3B" w:rsidP="00777703">
      <w:pPr>
        <w:spacing w:before="0" w:after="120" w:line="240" w:lineRule="auto"/>
        <w:ind w:left="1276" w:hanging="1276"/>
        <w:rPr>
          <w:rFonts w:eastAsia="MS Mincho"/>
          <w:i/>
          <w:szCs w:val="24"/>
          <w:lang w:eastAsia="ja-JP"/>
        </w:rPr>
      </w:pPr>
      <w:bookmarkStart w:id="0" w:name="Editing"/>
      <w:bookmarkEnd w:id="0"/>
      <w:r w:rsidRPr="00AF3ACC">
        <w:rPr>
          <w:rFonts w:eastAsia="MS Mincho"/>
          <w:b/>
          <w:bCs/>
          <w:szCs w:val="24"/>
          <w:lang w:eastAsia="ja-JP"/>
        </w:rPr>
        <w:t>Padraic</w:t>
      </w:r>
      <w:r w:rsidRPr="00AF3ACC">
        <w:rPr>
          <w:rFonts w:eastAsia="MS Mincho"/>
          <w:b/>
          <w:bCs/>
          <w:i/>
          <w:szCs w:val="24"/>
          <w:lang w:eastAsia="ja-JP"/>
        </w:rPr>
        <w:t xml:space="preserve"> </w:t>
      </w:r>
      <w:r w:rsidRPr="00AF3ACC">
        <w:rPr>
          <w:rFonts w:eastAsia="MS Mincho"/>
          <w:b/>
          <w:bCs/>
          <w:szCs w:val="24"/>
          <w:lang w:eastAsia="ja-JP"/>
        </w:rPr>
        <w:t>Kenna</w:t>
      </w:r>
      <w:r w:rsidRPr="007D4DDF">
        <w:rPr>
          <w:rFonts w:eastAsia="MS Mincho"/>
          <w:i/>
          <w:szCs w:val="24"/>
          <w:lang w:eastAsia="ja-JP"/>
        </w:rPr>
        <w:t xml:space="preserve"> </w:t>
      </w:r>
    </w:p>
    <w:p w14:paraId="614E588A" w14:textId="77777777" w:rsidR="00DD2BEC" w:rsidRPr="006E160F" w:rsidRDefault="00DD2BEC" w:rsidP="00395E14">
      <w:pPr>
        <w:spacing w:before="0" w:after="120" w:line="240" w:lineRule="auto"/>
        <w:rPr>
          <w:rFonts w:eastAsia="MS Mincho"/>
          <w:b/>
          <w:i/>
          <w:sz w:val="28"/>
          <w:szCs w:val="28"/>
          <w:lang w:eastAsia="ja-JP"/>
        </w:rPr>
      </w:pPr>
    </w:p>
    <w:p w14:paraId="15A783B9" w14:textId="77777777" w:rsidR="0005288A" w:rsidRPr="008B1CB3" w:rsidRDefault="00DD2BEC" w:rsidP="00AF3ACC">
      <w:pPr>
        <w:numPr>
          <w:ilvl w:val="0"/>
          <w:numId w:val="25"/>
        </w:numPr>
        <w:spacing w:before="0" w:after="120" w:line="240" w:lineRule="auto"/>
        <w:rPr>
          <w:rFonts w:eastAsia="MS Mincho"/>
          <w:b/>
          <w:bCs/>
          <w:sz w:val="28"/>
          <w:szCs w:val="28"/>
          <w:lang w:eastAsia="ja-JP"/>
        </w:rPr>
      </w:pPr>
      <w:r w:rsidRPr="008B1CB3">
        <w:rPr>
          <w:rFonts w:eastAsia="MS Mincho"/>
          <w:b/>
          <w:bCs/>
          <w:sz w:val="28"/>
          <w:szCs w:val="28"/>
          <w:lang w:eastAsia="ja-JP"/>
        </w:rPr>
        <w:t>E</w:t>
      </w:r>
      <w:r w:rsidR="00A91069" w:rsidRPr="008B1CB3">
        <w:rPr>
          <w:rFonts w:eastAsia="MS Mincho"/>
          <w:b/>
          <w:bCs/>
          <w:sz w:val="28"/>
          <w:szCs w:val="28"/>
          <w:lang w:eastAsia="ja-JP"/>
        </w:rPr>
        <w:t>VICTION</w:t>
      </w:r>
    </w:p>
    <w:p w14:paraId="567515AA" w14:textId="77777777" w:rsidR="00F74A5E" w:rsidRPr="007D4DDF" w:rsidRDefault="006D5462" w:rsidP="00777703">
      <w:pPr>
        <w:spacing w:before="0" w:after="120" w:line="240" w:lineRule="auto"/>
        <w:rPr>
          <w:rFonts w:eastAsia="MS Mincho"/>
          <w:b/>
          <w:szCs w:val="24"/>
          <w:lang w:eastAsia="ja-JP"/>
        </w:rPr>
      </w:pPr>
      <w:r w:rsidRPr="007D4DDF">
        <w:rPr>
          <w:color w:val="000000"/>
          <w:szCs w:val="24"/>
        </w:rPr>
        <w:t xml:space="preserve">Eviction </w:t>
      </w:r>
      <w:r w:rsidR="00993F5E" w:rsidRPr="007D4DDF">
        <w:rPr>
          <w:color w:val="000000"/>
          <w:szCs w:val="24"/>
        </w:rPr>
        <w:t xml:space="preserve">from home </w:t>
      </w:r>
      <w:r w:rsidRPr="007D4DDF">
        <w:rPr>
          <w:color w:val="000000"/>
          <w:szCs w:val="24"/>
        </w:rPr>
        <w:t xml:space="preserve">strikes at the </w:t>
      </w:r>
      <w:r w:rsidR="0082685E" w:rsidRPr="007D4DDF">
        <w:rPr>
          <w:color w:val="000000"/>
          <w:szCs w:val="24"/>
        </w:rPr>
        <w:t xml:space="preserve">core of </w:t>
      </w:r>
      <w:r w:rsidR="00073E2B" w:rsidRPr="007D4DDF">
        <w:rPr>
          <w:color w:val="000000"/>
          <w:szCs w:val="24"/>
        </w:rPr>
        <w:t xml:space="preserve">human rights and </w:t>
      </w:r>
      <w:r w:rsidR="009134ED" w:rsidRPr="007D4DDF">
        <w:rPr>
          <w:color w:val="000000"/>
          <w:szCs w:val="24"/>
        </w:rPr>
        <w:t>civili</w:t>
      </w:r>
      <w:r w:rsidR="009134ED">
        <w:rPr>
          <w:color w:val="000000"/>
          <w:szCs w:val="24"/>
        </w:rPr>
        <w:t>z</w:t>
      </w:r>
      <w:r w:rsidR="009134ED" w:rsidRPr="007D4DDF">
        <w:rPr>
          <w:color w:val="000000"/>
          <w:szCs w:val="24"/>
        </w:rPr>
        <w:t xml:space="preserve">ed </w:t>
      </w:r>
      <w:r w:rsidR="00073E2B" w:rsidRPr="007D4DDF">
        <w:rPr>
          <w:color w:val="000000"/>
          <w:szCs w:val="24"/>
        </w:rPr>
        <w:t>society</w:t>
      </w:r>
      <w:r w:rsidR="00C35EF7" w:rsidRPr="007D4DDF">
        <w:rPr>
          <w:color w:val="000000"/>
          <w:szCs w:val="24"/>
        </w:rPr>
        <w:t>.</w:t>
      </w:r>
      <w:r w:rsidR="0082685E" w:rsidRPr="007D4DDF">
        <w:rPr>
          <w:color w:val="000000"/>
          <w:szCs w:val="24"/>
        </w:rPr>
        <w:t xml:space="preserve"> The forced removal of people from their homes e</w:t>
      </w:r>
      <w:r w:rsidR="00993F5E" w:rsidRPr="007D4DDF">
        <w:rPr>
          <w:color w:val="000000"/>
          <w:szCs w:val="24"/>
        </w:rPr>
        <w:t>vokes</w:t>
      </w:r>
      <w:r w:rsidR="0082685E" w:rsidRPr="007D4DDF">
        <w:rPr>
          <w:color w:val="000000"/>
          <w:szCs w:val="24"/>
        </w:rPr>
        <w:t xml:space="preserve"> a primordial response, </w:t>
      </w:r>
      <w:r w:rsidR="00993F5E" w:rsidRPr="007D4DDF">
        <w:rPr>
          <w:color w:val="000000"/>
          <w:szCs w:val="24"/>
        </w:rPr>
        <w:t xml:space="preserve">related to </w:t>
      </w:r>
      <w:r w:rsidR="00F74A5E" w:rsidRPr="007D4DDF">
        <w:rPr>
          <w:color w:val="000000"/>
          <w:szCs w:val="24"/>
        </w:rPr>
        <w:t xml:space="preserve">the </w:t>
      </w:r>
      <w:r w:rsidR="00993F5E" w:rsidRPr="007D4DDF">
        <w:rPr>
          <w:color w:val="000000"/>
          <w:szCs w:val="24"/>
        </w:rPr>
        <w:t xml:space="preserve">primary </w:t>
      </w:r>
      <w:r w:rsidR="0082685E" w:rsidRPr="007D4DDF">
        <w:rPr>
          <w:color w:val="000000"/>
          <w:szCs w:val="24"/>
        </w:rPr>
        <w:t>human</w:t>
      </w:r>
      <w:r w:rsidR="007D7E29" w:rsidRPr="007D4DDF">
        <w:rPr>
          <w:color w:val="000000"/>
          <w:szCs w:val="24"/>
        </w:rPr>
        <w:t xml:space="preserve"> </w:t>
      </w:r>
      <w:r w:rsidR="007B74C5" w:rsidRPr="007D4DDF">
        <w:rPr>
          <w:color w:val="000000"/>
          <w:szCs w:val="24"/>
        </w:rPr>
        <w:t xml:space="preserve">need </w:t>
      </w:r>
      <w:r w:rsidR="0082685E" w:rsidRPr="007D4DDF">
        <w:rPr>
          <w:color w:val="000000"/>
          <w:szCs w:val="24"/>
        </w:rPr>
        <w:t>for shelter.</w:t>
      </w:r>
      <w:r w:rsidR="0082685E" w:rsidRPr="007D4DDF">
        <w:rPr>
          <w:rStyle w:val="FootnoteReference"/>
          <w:color w:val="000000"/>
          <w:szCs w:val="24"/>
        </w:rPr>
        <w:footnoteReference w:id="2"/>
      </w:r>
      <w:r w:rsidR="0082685E" w:rsidRPr="007D4DDF">
        <w:rPr>
          <w:color w:val="000000"/>
          <w:szCs w:val="24"/>
        </w:rPr>
        <w:t xml:space="preserve"> All </w:t>
      </w:r>
      <w:r w:rsidR="009134ED" w:rsidRPr="007D4DDF">
        <w:rPr>
          <w:color w:val="000000"/>
          <w:szCs w:val="24"/>
        </w:rPr>
        <w:t>civili</w:t>
      </w:r>
      <w:r w:rsidR="009134ED">
        <w:rPr>
          <w:color w:val="000000"/>
          <w:szCs w:val="24"/>
        </w:rPr>
        <w:t>z</w:t>
      </w:r>
      <w:r w:rsidR="009134ED" w:rsidRPr="007D4DDF">
        <w:rPr>
          <w:color w:val="000000"/>
          <w:szCs w:val="24"/>
        </w:rPr>
        <w:t xml:space="preserve">ed </w:t>
      </w:r>
      <w:r w:rsidR="0082685E" w:rsidRPr="007D4DDF">
        <w:rPr>
          <w:color w:val="000000"/>
          <w:szCs w:val="24"/>
        </w:rPr>
        <w:t>societies have protected the homes of their inhabitants from ar</w:t>
      </w:r>
      <w:r w:rsidR="00F57266" w:rsidRPr="007D4DDF">
        <w:rPr>
          <w:color w:val="000000"/>
          <w:szCs w:val="24"/>
        </w:rPr>
        <w:t>bitrary violation</w:t>
      </w:r>
      <w:r w:rsidR="00F74A5E" w:rsidRPr="007D4DDF">
        <w:rPr>
          <w:color w:val="000000"/>
          <w:szCs w:val="24"/>
        </w:rPr>
        <w:t>s</w:t>
      </w:r>
      <w:r w:rsidR="00F57266" w:rsidRPr="007D4DDF">
        <w:rPr>
          <w:color w:val="000000"/>
          <w:szCs w:val="24"/>
        </w:rPr>
        <w:t xml:space="preserve"> and forced eviction</w:t>
      </w:r>
      <w:r w:rsidRPr="007D4DDF">
        <w:rPr>
          <w:color w:val="000000"/>
          <w:szCs w:val="24"/>
        </w:rPr>
        <w:t xml:space="preserve">. </w:t>
      </w:r>
    </w:p>
    <w:p w14:paraId="64CD0335" w14:textId="77777777" w:rsidR="001A4592" w:rsidRPr="007D4DDF" w:rsidRDefault="00962026" w:rsidP="00777703">
      <w:pPr>
        <w:widowControl w:val="0"/>
        <w:autoSpaceDE w:val="0"/>
        <w:autoSpaceDN w:val="0"/>
        <w:adjustRightInd w:val="0"/>
        <w:spacing w:before="0" w:after="120" w:line="240" w:lineRule="auto"/>
        <w:rPr>
          <w:color w:val="000000"/>
          <w:szCs w:val="24"/>
        </w:rPr>
      </w:pPr>
      <w:r w:rsidRPr="007D4DDF">
        <w:rPr>
          <w:color w:val="000000"/>
          <w:szCs w:val="24"/>
        </w:rPr>
        <w:t>A</w:t>
      </w:r>
      <w:r w:rsidR="00694CE2" w:rsidRPr="007D4DDF">
        <w:rPr>
          <w:color w:val="000000"/>
          <w:szCs w:val="24"/>
        </w:rPr>
        <w:t xml:space="preserve">cross the world, </w:t>
      </w:r>
      <w:r w:rsidR="004A1608">
        <w:rPr>
          <w:color w:val="000000"/>
          <w:szCs w:val="24"/>
        </w:rPr>
        <w:t xml:space="preserve">today, most </w:t>
      </w:r>
      <w:r w:rsidR="00F57266" w:rsidRPr="007D4DDF">
        <w:rPr>
          <w:color w:val="000000"/>
          <w:szCs w:val="24"/>
        </w:rPr>
        <w:t xml:space="preserve">countries have </w:t>
      </w:r>
      <w:r w:rsidR="00694CE2" w:rsidRPr="007D4DDF">
        <w:rPr>
          <w:color w:val="000000"/>
          <w:szCs w:val="24"/>
        </w:rPr>
        <w:t xml:space="preserve">adopted </w:t>
      </w:r>
      <w:r w:rsidR="00F57266" w:rsidRPr="007D4DDF">
        <w:rPr>
          <w:color w:val="000000"/>
          <w:szCs w:val="24"/>
        </w:rPr>
        <w:t>international human rights standards to protect people and households from forced eviction</w:t>
      </w:r>
      <w:r w:rsidR="00290E59" w:rsidRPr="007D4DDF">
        <w:rPr>
          <w:color w:val="000000"/>
          <w:szCs w:val="24"/>
        </w:rPr>
        <w:t xml:space="preserve"> from their homes</w:t>
      </w:r>
      <w:r w:rsidR="00F57266" w:rsidRPr="007D4DDF">
        <w:rPr>
          <w:color w:val="000000"/>
          <w:szCs w:val="24"/>
        </w:rPr>
        <w:t>.</w:t>
      </w:r>
      <w:r w:rsidR="00924F9B" w:rsidRPr="007D4DDF">
        <w:rPr>
          <w:rStyle w:val="FootnoteReference"/>
          <w:color w:val="000000"/>
          <w:szCs w:val="24"/>
        </w:rPr>
        <w:footnoteReference w:id="3"/>
      </w:r>
      <w:r w:rsidR="006D5462" w:rsidRPr="007D4DDF">
        <w:rPr>
          <w:color w:val="000000"/>
          <w:szCs w:val="24"/>
        </w:rPr>
        <w:t xml:space="preserve"> </w:t>
      </w:r>
      <w:r w:rsidR="00694CE2" w:rsidRPr="007D4DDF">
        <w:rPr>
          <w:color w:val="000000"/>
          <w:szCs w:val="24"/>
        </w:rPr>
        <w:t xml:space="preserve">Often, these are based on </w:t>
      </w:r>
      <w:r w:rsidR="004977FC" w:rsidRPr="007D4DDF">
        <w:rPr>
          <w:color w:val="000000"/>
          <w:szCs w:val="24"/>
        </w:rPr>
        <w:t xml:space="preserve">the need to protect </w:t>
      </w:r>
      <w:r w:rsidR="00204BED" w:rsidRPr="007D4DDF">
        <w:rPr>
          <w:color w:val="000000"/>
          <w:szCs w:val="24"/>
        </w:rPr>
        <w:t>people’s</w:t>
      </w:r>
      <w:r w:rsidR="004977FC" w:rsidRPr="007D4DDF">
        <w:rPr>
          <w:color w:val="000000"/>
          <w:szCs w:val="24"/>
        </w:rPr>
        <w:t xml:space="preserve"> dignity and rights to habitation </w:t>
      </w:r>
      <w:r w:rsidR="00AD6551" w:rsidRPr="007D4DDF">
        <w:rPr>
          <w:color w:val="000000"/>
          <w:szCs w:val="24"/>
        </w:rPr>
        <w:t xml:space="preserve">from powerful property </w:t>
      </w:r>
      <w:r w:rsidR="004A1608">
        <w:rPr>
          <w:color w:val="000000"/>
          <w:szCs w:val="24"/>
        </w:rPr>
        <w:t xml:space="preserve">owners </w:t>
      </w:r>
      <w:r w:rsidR="00AD6551" w:rsidRPr="007D4DDF">
        <w:rPr>
          <w:color w:val="000000"/>
          <w:szCs w:val="24"/>
        </w:rPr>
        <w:t>or</w:t>
      </w:r>
      <w:r w:rsidR="004977FC" w:rsidRPr="007D4DDF">
        <w:rPr>
          <w:color w:val="000000"/>
          <w:szCs w:val="24"/>
        </w:rPr>
        <w:t xml:space="preserve"> political forces</w:t>
      </w:r>
      <w:r w:rsidR="00694CE2" w:rsidRPr="007D4DDF">
        <w:rPr>
          <w:color w:val="000000"/>
          <w:szCs w:val="24"/>
        </w:rPr>
        <w:t>. The</w:t>
      </w:r>
      <w:r w:rsidR="006D5462" w:rsidRPr="007D4DDF">
        <w:rPr>
          <w:color w:val="000000"/>
          <w:szCs w:val="24"/>
        </w:rPr>
        <w:t xml:space="preserve"> concept of </w:t>
      </w:r>
      <w:r w:rsidR="004977FC" w:rsidRPr="007D4DDF">
        <w:rPr>
          <w:color w:val="000000"/>
          <w:szCs w:val="24"/>
        </w:rPr>
        <w:t>rights to respect for privacy</w:t>
      </w:r>
      <w:r w:rsidR="00694CE2" w:rsidRPr="007D4DDF">
        <w:rPr>
          <w:color w:val="000000"/>
          <w:szCs w:val="24"/>
        </w:rPr>
        <w:t>,</w:t>
      </w:r>
      <w:r w:rsidR="006D5462" w:rsidRPr="007D4DDF">
        <w:rPr>
          <w:color w:val="000000"/>
          <w:szCs w:val="24"/>
        </w:rPr>
        <w:t xml:space="preserve"> home and family life </w:t>
      </w:r>
      <w:r w:rsidR="009C51AA" w:rsidRPr="007D4DDF">
        <w:rPr>
          <w:color w:val="000000"/>
          <w:szCs w:val="24"/>
        </w:rPr>
        <w:t>ha</w:t>
      </w:r>
      <w:r w:rsidR="00204BED" w:rsidRPr="007D4DDF">
        <w:rPr>
          <w:color w:val="000000"/>
          <w:szCs w:val="24"/>
        </w:rPr>
        <w:t>s</w:t>
      </w:r>
      <w:r w:rsidR="004977FC" w:rsidRPr="007D4DDF">
        <w:rPr>
          <w:color w:val="000000"/>
          <w:szCs w:val="24"/>
        </w:rPr>
        <w:t xml:space="preserve"> emerged as </w:t>
      </w:r>
      <w:r w:rsidR="00204BED" w:rsidRPr="007D4DDF">
        <w:rPr>
          <w:color w:val="000000"/>
          <w:szCs w:val="24"/>
        </w:rPr>
        <w:t xml:space="preserve">a </w:t>
      </w:r>
      <w:r w:rsidR="004977FC" w:rsidRPr="007D4DDF">
        <w:rPr>
          <w:color w:val="000000"/>
          <w:szCs w:val="24"/>
        </w:rPr>
        <w:t xml:space="preserve">key legal principle. </w:t>
      </w:r>
      <w:r w:rsidR="004A1608">
        <w:rPr>
          <w:color w:val="000000"/>
          <w:szCs w:val="24"/>
        </w:rPr>
        <w:t xml:space="preserve">But inadequate </w:t>
      </w:r>
      <w:r w:rsidR="00DF65A6">
        <w:rPr>
          <w:color w:val="000000"/>
          <w:szCs w:val="24"/>
        </w:rPr>
        <w:t xml:space="preserve">public </w:t>
      </w:r>
      <w:r w:rsidR="00F57266" w:rsidRPr="007D4DDF">
        <w:rPr>
          <w:color w:val="000000"/>
          <w:szCs w:val="24"/>
        </w:rPr>
        <w:t>manag</w:t>
      </w:r>
      <w:r w:rsidR="00DF65A6">
        <w:rPr>
          <w:color w:val="000000"/>
          <w:szCs w:val="24"/>
        </w:rPr>
        <w:t xml:space="preserve">ement of </w:t>
      </w:r>
      <w:r w:rsidR="00F57266" w:rsidRPr="007D4DDF">
        <w:rPr>
          <w:color w:val="000000"/>
          <w:szCs w:val="24"/>
        </w:rPr>
        <w:t>the control and use of property</w:t>
      </w:r>
      <w:r w:rsidR="0036481E" w:rsidRPr="007D4DDF">
        <w:rPr>
          <w:color w:val="000000"/>
          <w:szCs w:val="24"/>
        </w:rPr>
        <w:t xml:space="preserve"> </w:t>
      </w:r>
      <w:r w:rsidR="00204BED" w:rsidRPr="007D4DDF">
        <w:rPr>
          <w:color w:val="000000"/>
          <w:szCs w:val="24"/>
        </w:rPr>
        <w:t>and</w:t>
      </w:r>
      <w:r w:rsidR="00F57266" w:rsidRPr="007D4DDF">
        <w:rPr>
          <w:color w:val="000000"/>
          <w:szCs w:val="24"/>
        </w:rPr>
        <w:t xml:space="preserve"> private and public spaces</w:t>
      </w:r>
      <w:r w:rsidR="0036481E" w:rsidRPr="007D4DDF">
        <w:rPr>
          <w:color w:val="000000"/>
          <w:szCs w:val="24"/>
        </w:rPr>
        <w:t>,</w:t>
      </w:r>
      <w:r w:rsidR="00F57266" w:rsidRPr="007D4DDF">
        <w:rPr>
          <w:color w:val="000000"/>
          <w:szCs w:val="24"/>
        </w:rPr>
        <w:t xml:space="preserve"> </w:t>
      </w:r>
      <w:r w:rsidR="00DF65A6">
        <w:rPr>
          <w:color w:val="000000"/>
          <w:szCs w:val="24"/>
        </w:rPr>
        <w:t xml:space="preserve">often leads to </w:t>
      </w:r>
      <w:r w:rsidR="00F57266" w:rsidRPr="007D4DDF">
        <w:rPr>
          <w:color w:val="000000"/>
          <w:szCs w:val="24"/>
        </w:rPr>
        <w:t>legally approved evictions</w:t>
      </w:r>
      <w:r w:rsidR="006D5462" w:rsidRPr="007D4DDF">
        <w:rPr>
          <w:color w:val="000000"/>
          <w:szCs w:val="24"/>
        </w:rPr>
        <w:t>. I</w:t>
      </w:r>
      <w:r w:rsidR="00F57266" w:rsidRPr="007D4DDF">
        <w:rPr>
          <w:color w:val="000000"/>
          <w:szCs w:val="24"/>
        </w:rPr>
        <w:t xml:space="preserve">ndeed, lack of </w:t>
      </w:r>
      <w:r w:rsidR="00204BED" w:rsidRPr="007D4DDF">
        <w:rPr>
          <w:color w:val="000000"/>
          <w:szCs w:val="24"/>
        </w:rPr>
        <w:t>s</w:t>
      </w:r>
      <w:r w:rsidR="00073E2B" w:rsidRPr="007D4DDF">
        <w:rPr>
          <w:color w:val="000000"/>
          <w:szCs w:val="24"/>
        </w:rPr>
        <w:t xml:space="preserve">tate </w:t>
      </w:r>
      <w:r w:rsidR="00F57266" w:rsidRPr="007D4DDF">
        <w:rPr>
          <w:color w:val="000000"/>
          <w:szCs w:val="24"/>
        </w:rPr>
        <w:t xml:space="preserve">regulation </w:t>
      </w:r>
      <w:r w:rsidR="00DF65A6">
        <w:rPr>
          <w:color w:val="000000"/>
          <w:szCs w:val="24"/>
        </w:rPr>
        <w:t xml:space="preserve">of property and spaces </w:t>
      </w:r>
      <w:r w:rsidR="006D5462" w:rsidRPr="007D4DDF">
        <w:rPr>
          <w:color w:val="000000"/>
          <w:szCs w:val="24"/>
        </w:rPr>
        <w:t xml:space="preserve">can facilitate </w:t>
      </w:r>
      <w:r w:rsidR="00F57266" w:rsidRPr="007D4DDF">
        <w:rPr>
          <w:color w:val="000000"/>
          <w:szCs w:val="24"/>
        </w:rPr>
        <w:t>illegal force</w:t>
      </w:r>
      <w:r w:rsidR="00AD6551" w:rsidRPr="007D4DDF">
        <w:rPr>
          <w:color w:val="000000"/>
          <w:szCs w:val="24"/>
        </w:rPr>
        <w:t>d eviction</w:t>
      </w:r>
      <w:r w:rsidR="009C51AA" w:rsidRPr="007D4DDF">
        <w:rPr>
          <w:color w:val="000000"/>
          <w:szCs w:val="24"/>
        </w:rPr>
        <w:t>s</w:t>
      </w:r>
      <w:r w:rsidR="00AD6551" w:rsidRPr="007D4DDF">
        <w:rPr>
          <w:color w:val="000000"/>
          <w:szCs w:val="24"/>
        </w:rPr>
        <w:t>.</w:t>
      </w:r>
      <w:r w:rsidR="007D7E29" w:rsidRPr="007D4DDF">
        <w:rPr>
          <w:color w:val="000000"/>
          <w:szCs w:val="24"/>
        </w:rPr>
        <w:t xml:space="preserve"> </w:t>
      </w:r>
      <w:r w:rsidR="004977FC" w:rsidRPr="007D4DDF">
        <w:rPr>
          <w:color w:val="000000"/>
          <w:szCs w:val="24"/>
        </w:rPr>
        <w:t>E</w:t>
      </w:r>
      <w:r w:rsidR="00F57266" w:rsidRPr="007D4DDF">
        <w:rPr>
          <w:color w:val="000000"/>
          <w:szCs w:val="24"/>
        </w:rPr>
        <w:t>ve</w:t>
      </w:r>
      <w:r w:rsidR="0082685E" w:rsidRPr="007D4DDF">
        <w:rPr>
          <w:color w:val="000000"/>
          <w:szCs w:val="24"/>
        </w:rPr>
        <w:t xml:space="preserve">n in developed European </w:t>
      </w:r>
      <w:r w:rsidR="00AD6551" w:rsidRPr="007D4DDF">
        <w:rPr>
          <w:color w:val="000000"/>
          <w:szCs w:val="24"/>
        </w:rPr>
        <w:t xml:space="preserve">Union </w:t>
      </w:r>
      <w:r w:rsidR="001D4C65" w:rsidRPr="007D4DDF">
        <w:rPr>
          <w:color w:val="000000"/>
          <w:szCs w:val="24"/>
        </w:rPr>
        <w:t xml:space="preserve">Member </w:t>
      </w:r>
      <w:r w:rsidR="0082685E" w:rsidRPr="007D4DDF">
        <w:rPr>
          <w:color w:val="000000"/>
          <w:szCs w:val="24"/>
        </w:rPr>
        <w:t>States, with constitutional and legislative protection</w:t>
      </w:r>
      <w:r w:rsidR="00F57266" w:rsidRPr="007D4DDF">
        <w:rPr>
          <w:color w:val="000000"/>
          <w:szCs w:val="24"/>
        </w:rPr>
        <w:t xml:space="preserve">, forced evictions are </w:t>
      </w:r>
      <w:r w:rsidR="00AD6551" w:rsidRPr="007D4DDF">
        <w:rPr>
          <w:color w:val="000000"/>
          <w:szCs w:val="24"/>
        </w:rPr>
        <w:t>legally permitted</w:t>
      </w:r>
      <w:r w:rsidR="00951181" w:rsidRPr="007D4DDF">
        <w:rPr>
          <w:color w:val="000000"/>
          <w:szCs w:val="24"/>
        </w:rPr>
        <w:t xml:space="preserve"> in certain circumstances</w:t>
      </w:r>
      <w:r w:rsidR="00F57266" w:rsidRPr="007D4DDF">
        <w:rPr>
          <w:color w:val="000000"/>
          <w:szCs w:val="24"/>
        </w:rPr>
        <w:t xml:space="preserve">. </w:t>
      </w:r>
      <w:r w:rsidR="001D4C65" w:rsidRPr="007D4DDF">
        <w:rPr>
          <w:color w:val="000000"/>
          <w:szCs w:val="24"/>
        </w:rPr>
        <w:t>Integrating housing rights protection into modern housing systems remains an undeveloped area of study.</w:t>
      </w:r>
      <w:r w:rsidR="001D4C65" w:rsidRPr="007D4DDF">
        <w:rPr>
          <w:rStyle w:val="FootnoteReference"/>
          <w:color w:val="000000"/>
          <w:szCs w:val="24"/>
        </w:rPr>
        <w:footnoteReference w:id="4"/>
      </w:r>
    </w:p>
    <w:p w14:paraId="2800EA0A" w14:textId="77777777" w:rsidR="00F74A5E" w:rsidRPr="007D4DDF" w:rsidRDefault="00F74A5E" w:rsidP="00777703">
      <w:pPr>
        <w:widowControl w:val="0"/>
        <w:autoSpaceDE w:val="0"/>
        <w:autoSpaceDN w:val="0"/>
        <w:adjustRightInd w:val="0"/>
        <w:spacing w:before="0" w:after="120" w:line="240" w:lineRule="auto"/>
        <w:rPr>
          <w:color w:val="000000"/>
          <w:szCs w:val="24"/>
        </w:rPr>
      </w:pPr>
      <w:r w:rsidRPr="007D4DDF">
        <w:rPr>
          <w:color w:val="000000"/>
          <w:szCs w:val="24"/>
        </w:rPr>
        <w:t xml:space="preserve">Today, protection from arbitrary eviction is often ascribed to the security of property ownership and property rights in liberal </w:t>
      </w:r>
      <w:proofErr w:type="gramStart"/>
      <w:r w:rsidR="0036481E" w:rsidRPr="007D4DDF">
        <w:rPr>
          <w:color w:val="000000"/>
          <w:szCs w:val="24"/>
        </w:rPr>
        <w:t>societies, and</w:t>
      </w:r>
      <w:proofErr w:type="gramEnd"/>
      <w:r w:rsidRPr="007D4DDF">
        <w:rPr>
          <w:color w:val="000000"/>
          <w:szCs w:val="24"/>
        </w:rPr>
        <w:t xml:space="preserve"> is finely balanced in law between occupiers and property owners in social democratic societies. It is, of course, regularly asserted that, without the possibility of repossessing rented or mortgaged housing, investment in a functioning mortgage and rented housing market would cease to exist. Of course, in the real world it is much more complex.</w:t>
      </w:r>
    </w:p>
    <w:p w14:paraId="461F36AF" w14:textId="77777777" w:rsidR="00F74A5E" w:rsidRPr="007D4DDF" w:rsidRDefault="004D2FC4"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Across Europe evictions are taking place every day. </w:t>
      </w:r>
      <w:r w:rsidR="004977FC" w:rsidRPr="007D4DDF">
        <w:rPr>
          <w:rFonts w:ascii="Times New Roman" w:hAnsi="Times New Roman"/>
          <w:color w:val="000000"/>
        </w:rPr>
        <w:t xml:space="preserve">This book </w:t>
      </w:r>
      <w:r w:rsidR="00694CE2" w:rsidRPr="007D4DDF">
        <w:rPr>
          <w:rFonts w:ascii="Times New Roman" w:hAnsi="Times New Roman"/>
          <w:color w:val="000000"/>
        </w:rPr>
        <w:t>examine</w:t>
      </w:r>
      <w:r w:rsidR="001C47BA" w:rsidRPr="007D4DDF">
        <w:rPr>
          <w:rFonts w:ascii="Times New Roman" w:hAnsi="Times New Roman"/>
          <w:color w:val="000000"/>
        </w:rPr>
        <w:t>s</w:t>
      </w:r>
      <w:r w:rsidR="00694CE2" w:rsidRPr="007D4DDF">
        <w:rPr>
          <w:rFonts w:ascii="Times New Roman" w:hAnsi="Times New Roman"/>
          <w:color w:val="000000"/>
        </w:rPr>
        <w:t xml:space="preserve"> evictions across </w:t>
      </w:r>
      <w:r w:rsidR="001D4C65" w:rsidRPr="007D4DDF">
        <w:rPr>
          <w:rFonts w:ascii="Times New Roman" w:hAnsi="Times New Roman"/>
          <w:color w:val="000000"/>
        </w:rPr>
        <w:t xml:space="preserve">eleven </w:t>
      </w:r>
      <w:r w:rsidRPr="007D4DDF">
        <w:rPr>
          <w:rFonts w:ascii="Times New Roman" w:hAnsi="Times New Roman"/>
          <w:color w:val="000000"/>
        </w:rPr>
        <w:t>Eur</w:t>
      </w:r>
      <w:r w:rsidR="002F1C7D" w:rsidRPr="007D4DDF">
        <w:rPr>
          <w:rFonts w:ascii="Times New Roman" w:hAnsi="Times New Roman"/>
          <w:color w:val="000000"/>
        </w:rPr>
        <w:t>opean</w:t>
      </w:r>
      <w:r w:rsidRPr="007D4DDF">
        <w:rPr>
          <w:rFonts w:ascii="Times New Roman" w:hAnsi="Times New Roman"/>
          <w:color w:val="000000"/>
        </w:rPr>
        <w:t xml:space="preserve"> </w:t>
      </w:r>
      <w:r w:rsidR="001D4C65" w:rsidRPr="007D4DDF">
        <w:rPr>
          <w:rFonts w:ascii="Times New Roman" w:hAnsi="Times New Roman"/>
          <w:color w:val="000000"/>
        </w:rPr>
        <w:t xml:space="preserve">countries: Belgium, France, Germany, Hungary, Ireland, Italy, </w:t>
      </w:r>
      <w:r w:rsidR="00204BED" w:rsidRPr="007D4DDF">
        <w:rPr>
          <w:rFonts w:ascii="Times New Roman" w:hAnsi="Times New Roman"/>
          <w:color w:val="000000"/>
        </w:rPr>
        <w:t xml:space="preserve">the Netherlands, </w:t>
      </w:r>
      <w:r w:rsidR="001D4C65" w:rsidRPr="007D4DDF">
        <w:rPr>
          <w:rFonts w:ascii="Times New Roman" w:hAnsi="Times New Roman"/>
          <w:color w:val="000000"/>
        </w:rPr>
        <w:t>Poland, Slovenia, Spain and the United Kingdom</w:t>
      </w:r>
      <w:r w:rsidR="00F74A5E" w:rsidRPr="007D4DDF">
        <w:rPr>
          <w:rFonts w:ascii="Times New Roman" w:hAnsi="Times New Roman"/>
          <w:color w:val="000000"/>
        </w:rPr>
        <w:t xml:space="preserve"> covering the period between 2010 and </w:t>
      </w:r>
      <w:r w:rsidR="00DF65A6">
        <w:rPr>
          <w:rFonts w:ascii="Times New Roman" w:hAnsi="Times New Roman"/>
          <w:color w:val="000000"/>
        </w:rPr>
        <w:t>2015/</w:t>
      </w:r>
      <w:r w:rsidR="00F74A5E" w:rsidRPr="007D4DDF">
        <w:rPr>
          <w:rFonts w:ascii="Times New Roman" w:hAnsi="Times New Roman"/>
          <w:color w:val="000000"/>
        </w:rPr>
        <w:t xml:space="preserve">2016. Each chapter has been written by a national expert in the </w:t>
      </w:r>
      <w:r w:rsidR="0036481E" w:rsidRPr="007D4DDF">
        <w:rPr>
          <w:rFonts w:ascii="Times New Roman" w:hAnsi="Times New Roman"/>
          <w:color w:val="000000"/>
        </w:rPr>
        <w:t>field and</w:t>
      </w:r>
      <w:r w:rsidR="00F74A5E" w:rsidRPr="007D4DDF">
        <w:rPr>
          <w:rFonts w:ascii="Times New Roman" w:hAnsi="Times New Roman"/>
          <w:color w:val="000000"/>
        </w:rPr>
        <w:t xml:space="preserve"> represents the most developed national research to date on this issue.</w:t>
      </w:r>
    </w:p>
    <w:p w14:paraId="3681A221" w14:textId="77777777" w:rsidR="001A4592" w:rsidRPr="007D4DDF" w:rsidRDefault="00694CE2"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It follows and build</w:t>
      </w:r>
      <w:r w:rsidR="007D7E29" w:rsidRPr="007D4DDF">
        <w:rPr>
          <w:rFonts w:ascii="Times New Roman" w:hAnsi="Times New Roman"/>
          <w:color w:val="000000"/>
        </w:rPr>
        <w:t xml:space="preserve">s </w:t>
      </w:r>
      <w:r w:rsidRPr="007D4DDF">
        <w:rPr>
          <w:rFonts w:ascii="Times New Roman" w:hAnsi="Times New Roman"/>
          <w:color w:val="000000"/>
        </w:rPr>
        <w:t xml:space="preserve">upon the </w:t>
      </w:r>
      <w:r w:rsidRPr="007D4DDF">
        <w:rPr>
          <w:rFonts w:ascii="Times New Roman" w:hAnsi="Times New Roman"/>
        </w:rPr>
        <w:t>EU Commission</w:t>
      </w:r>
      <w:r w:rsidR="0070409C" w:rsidRPr="007D4DDF">
        <w:rPr>
          <w:rFonts w:ascii="Times New Roman" w:hAnsi="Times New Roman"/>
        </w:rPr>
        <w:t>-</w:t>
      </w:r>
      <w:r w:rsidRPr="007D4DDF">
        <w:rPr>
          <w:rFonts w:ascii="Times New Roman" w:hAnsi="Times New Roman"/>
        </w:rPr>
        <w:t>funded study</w:t>
      </w:r>
      <w:r w:rsidRPr="007D4DDF">
        <w:rPr>
          <w:rFonts w:ascii="Times New Roman" w:hAnsi="Times New Roman"/>
          <w:i/>
        </w:rPr>
        <w:t xml:space="preserve"> Pilot </w:t>
      </w:r>
      <w:r w:rsidR="00331DBA" w:rsidRPr="007D4DDF">
        <w:rPr>
          <w:rFonts w:ascii="Times New Roman" w:hAnsi="Times New Roman"/>
          <w:i/>
        </w:rPr>
        <w:t xml:space="preserve">Project </w:t>
      </w:r>
      <w:r w:rsidRPr="007D4DDF">
        <w:rPr>
          <w:rFonts w:ascii="Times New Roman" w:hAnsi="Times New Roman"/>
          <w:i/>
        </w:rPr>
        <w:t xml:space="preserve">– Promoting </w:t>
      </w:r>
      <w:r w:rsidR="00331DBA" w:rsidRPr="007D4DDF">
        <w:rPr>
          <w:rFonts w:ascii="Times New Roman" w:hAnsi="Times New Roman"/>
          <w:i/>
        </w:rPr>
        <w:t xml:space="preserve">Protection </w:t>
      </w:r>
      <w:r w:rsidRPr="007D4DDF">
        <w:rPr>
          <w:rFonts w:ascii="Times New Roman" w:hAnsi="Times New Roman"/>
          <w:i/>
        </w:rPr>
        <w:t xml:space="preserve">of the </w:t>
      </w:r>
      <w:r w:rsidR="00331DBA" w:rsidRPr="007D4DDF">
        <w:rPr>
          <w:rFonts w:ascii="Times New Roman" w:hAnsi="Times New Roman"/>
          <w:i/>
        </w:rPr>
        <w:t xml:space="preserve">Right </w:t>
      </w:r>
      <w:r w:rsidRPr="007D4DDF">
        <w:rPr>
          <w:rFonts w:ascii="Times New Roman" w:hAnsi="Times New Roman"/>
          <w:i/>
        </w:rPr>
        <w:t xml:space="preserve">to </w:t>
      </w:r>
      <w:r w:rsidR="00331DBA" w:rsidRPr="007D4DDF">
        <w:rPr>
          <w:rFonts w:ascii="Times New Roman" w:hAnsi="Times New Roman"/>
          <w:i/>
        </w:rPr>
        <w:t xml:space="preserve">Housing </w:t>
      </w:r>
      <w:r w:rsidRPr="007D4DDF">
        <w:rPr>
          <w:rFonts w:ascii="Times New Roman" w:hAnsi="Times New Roman"/>
          <w:i/>
        </w:rPr>
        <w:t xml:space="preserve">– Homelessness </w:t>
      </w:r>
      <w:r w:rsidR="00331DBA" w:rsidRPr="007D4DDF">
        <w:rPr>
          <w:rFonts w:ascii="Times New Roman" w:hAnsi="Times New Roman"/>
          <w:i/>
        </w:rPr>
        <w:t xml:space="preserve">Prevention </w:t>
      </w:r>
      <w:r w:rsidRPr="007D4DDF">
        <w:rPr>
          <w:rFonts w:ascii="Times New Roman" w:hAnsi="Times New Roman"/>
          <w:i/>
        </w:rPr>
        <w:t xml:space="preserve">in the </w:t>
      </w:r>
      <w:r w:rsidR="00331DBA" w:rsidRPr="007D4DDF">
        <w:rPr>
          <w:rFonts w:ascii="Times New Roman" w:hAnsi="Times New Roman"/>
          <w:i/>
        </w:rPr>
        <w:t xml:space="preserve">Context </w:t>
      </w:r>
      <w:r w:rsidRPr="007D4DDF">
        <w:rPr>
          <w:rFonts w:ascii="Times New Roman" w:hAnsi="Times New Roman"/>
          <w:i/>
        </w:rPr>
        <w:t xml:space="preserve">of </w:t>
      </w:r>
      <w:r w:rsidR="00331DBA" w:rsidRPr="007D4DDF">
        <w:rPr>
          <w:rFonts w:ascii="Times New Roman" w:hAnsi="Times New Roman"/>
          <w:i/>
        </w:rPr>
        <w:t>Evictions</w:t>
      </w:r>
      <w:r w:rsidR="0070409C" w:rsidRPr="007D4DDF">
        <w:rPr>
          <w:rFonts w:ascii="Times New Roman" w:hAnsi="Times New Roman"/>
          <w:i/>
        </w:rPr>
        <w:t>,</w:t>
      </w:r>
      <w:r w:rsidRPr="007D4DDF">
        <w:rPr>
          <w:rFonts w:ascii="Times New Roman" w:hAnsi="Times New Roman"/>
          <w:i/>
        </w:rPr>
        <w:t xml:space="preserve"> Final </w:t>
      </w:r>
      <w:r w:rsidR="001C47BA" w:rsidRPr="007D4DDF">
        <w:rPr>
          <w:rFonts w:ascii="Times New Roman" w:hAnsi="Times New Roman"/>
          <w:i/>
        </w:rPr>
        <w:t>R</w:t>
      </w:r>
      <w:r w:rsidRPr="007D4DDF">
        <w:rPr>
          <w:rFonts w:ascii="Times New Roman" w:hAnsi="Times New Roman"/>
          <w:i/>
        </w:rPr>
        <w:t>eport</w:t>
      </w:r>
      <w:r w:rsidRPr="007D4DDF">
        <w:rPr>
          <w:rStyle w:val="FootnoteReference"/>
          <w:rFonts w:ascii="Times New Roman" w:hAnsi="Times New Roman"/>
        </w:rPr>
        <w:footnoteReference w:id="5"/>
      </w:r>
      <w:r w:rsidR="0070409C" w:rsidRPr="007D4DDF">
        <w:rPr>
          <w:rFonts w:ascii="Times New Roman" w:hAnsi="Times New Roman"/>
        </w:rPr>
        <w:t xml:space="preserve"> </w:t>
      </w:r>
      <w:r w:rsidR="00981212" w:rsidRPr="007D4DDF">
        <w:rPr>
          <w:rFonts w:ascii="Times New Roman" w:hAnsi="Times New Roman"/>
        </w:rPr>
        <w:t xml:space="preserve">(hereinafter </w:t>
      </w:r>
      <w:r w:rsidR="00632AA5" w:rsidRPr="007D4DDF">
        <w:rPr>
          <w:rFonts w:ascii="Times New Roman" w:hAnsi="Times New Roman"/>
        </w:rPr>
        <w:t>‘</w:t>
      </w:r>
      <w:r w:rsidR="00981212" w:rsidRPr="007D4DDF">
        <w:rPr>
          <w:rFonts w:ascii="Times New Roman" w:hAnsi="Times New Roman"/>
        </w:rPr>
        <w:t xml:space="preserve">the </w:t>
      </w:r>
      <w:r w:rsidR="009A217A" w:rsidRPr="007D4DDF">
        <w:rPr>
          <w:rFonts w:ascii="Times New Roman" w:hAnsi="Times New Roman"/>
        </w:rPr>
        <w:t xml:space="preserve">EU </w:t>
      </w:r>
      <w:r w:rsidR="00981212" w:rsidRPr="007D4DDF">
        <w:rPr>
          <w:rFonts w:ascii="Times New Roman" w:hAnsi="Times New Roman"/>
        </w:rPr>
        <w:t>Pilot Project</w:t>
      </w:r>
      <w:r w:rsidR="009A217A" w:rsidRPr="007D4DDF">
        <w:rPr>
          <w:rFonts w:ascii="Times New Roman" w:hAnsi="Times New Roman"/>
        </w:rPr>
        <w:t xml:space="preserve"> Report</w:t>
      </w:r>
      <w:r w:rsidR="00632AA5" w:rsidRPr="007D4DDF">
        <w:rPr>
          <w:rFonts w:ascii="Times New Roman" w:hAnsi="Times New Roman"/>
        </w:rPr>
        <w:t>’</w:t>
      </w:r>
      <w:r w:rsidR="00981212" w:rsidRPr="007D4DDF">
        <w:rPr>
          <w:rFonts w:ascii="Times New Roman" w:hAnsi="Times New Roman"/>
        </w:rPr>
        <w:t>).</w:t>
      </w:r>
      <w:r w:rsidR="001D4C65" w:rsidRPr="007D4DDF">
        <w:rPr>
          <w:rFonts w:ascii="Times New Roman" w:hAnsi="Times New Roman"/>
        </w:rPr>
        <w:t xml:space="preserve"> </w:t>
      </w:r>
      <w:r w:rsidR="001C47BA" w:rsidRPr="007D4DDF">
        <w:rPr>
          <w:rFonts w:ascii="Times New Roman" w:hAnsi="Times New Roman"/>
          <w:color w:val="000000"/>
        </w:rPr>
        <w:t xml:space="preserve">The EU Pilot Project </w:t>
      </w:r>
      <w:r w:rsidR="00AD6551" w:rsidRPr="007D4DDF">
        <w:rPr>
          <w:rFonts w:ascii="Times New Roman" w:hAnsi="Times New Roman"/>
          <w:color w:val="000000"/>
        </w:rPr>
        <w:t xml:space="preserve">Report </w:t>
      </w:r>
      <w:r w:rsidR="001C47BA" w:rsidRPr="007D4DDF">
        <w:rPr>
          <w:rFonts w:ascii="Times New Roman" w:hAnsi="Times New Roman"/>
          <w:color w:val="000000"/>
        </w:rPr>
        <w:t>examined evictions across the 28 EU Member States between 2010 and 2013, in the context of the protect</w:t>
      </w:r>
      <w:r w:rsidR="001C47BA" w:rsidRPr="007D4DDF">
        <w:rPr>
          <w:rFonts w:ascii="Times New Roman" w:hAnsi="Times New Roman"/>
          <w:color w:val="000000"/>
          <w:spacing w:val="1"/>
        </w:rPr>
        <w:t>i</w:t>
      </w:r>
      <w:r w:rsidR="001C47BA" w:rsidRPr="007D4DDF">
        <w:rPr>
          <w:rFonts w:ascii="Times New Roman" w:hAnsi="Times New Roman"/>
          <w:color w:val="000000"/>
        </w:rPr>
        <w:t>on</w:t>
      </w:r>
      <w:r w:rsidR="007D7E29" w:rsidRPr="007D4DDF">
        <w:rPr>
          <w:rFonts w:ascii="Times New Roman" w:hAnsi="Times New Roman"/>
          <w:color w:val="000000"/>
        </w:rPr>
        <w:t xml:space="preserve"> </w:t>
      </w:r>
      <w:r w:rsidR="001C47BA" w:rsidRPr="007D4DDF">
        <w:rPr>
          <w:rFonts w:ascii="Times New Roman" w:hAnsi="Times New Roman"/>
          <w:color w:val="000000"/>
        </w:rPr>
        <w:t>of</w:t>
      </w:r>
      <w:r w:rsidR="007D7E29" w:rsidRPr="007D4DDF">
        <w:rPr>
          <w:rFonts w:ascii="Times New Roman" w:hAnsi="Times New Roman"/>
          <w:color w:val="000000"/>
        </w:rPr>
        <w:t xml:space="preserve"> </w:t>
      </w:r>
      <w:r w:rsidR="001C47BA" w:rsidRPr="007D4DDF">
        <w:rPr>
          <w:rFonts w:ascii="Times New Roman" w:hAnsi="Times New Roman"/>
          <w:color w:val="000000"/>
        </w:rPr>
        <w:t>t</w:t>
      </w:r>
      <w:r w:rsidR="001C47BA" w:rsidRPr="007D4DDF">
        <w:rPr>
          <w:rFonts w:ascii="Times New Roman" w:hAnsi="Times New Roman"/>
          <w:color w:val="000000"/>
          <w:spacing w:val="1"/>
        </w:rPr>
        <w:t>h</w:t>
      </w:r>
      <w:r w:rsidR="001C47BA" w:rsidRPr="007D4DDF">
        <w:rPr>
          <w:rFonts w:ascii="Times New Roman" w:hAnsi="Times New Roman"/>
          <w:color w:val="000000"/>
        </w:rPr>
        <w:t>e</w:t>
      </w:r>
      <w:r w:rsidR="007D7E29" w:rsidRPr="007D4DDF">
        <w:rPr>
          <w:rFonts w:ascii="Times New Roman" w:hAnsi="Times New Roman"/>
          <w:color w:val="000000"/>
        </w:rPr>
        <w:t xml:space="preserve"> </w:t>
      </w:r>
      <w:r w:rsidR="001C47BA" w:rsidRPr="007D4DDF">
        <w:rPr>
          <w:rFonts w:ascii="Times New Roman" w:hAnsi="Times New Roman"/>
          <w:color w:val="000000"/>
        </w:rPr>
        <w:t>ri</w:t>
      </w:r>
      <w:r w:rsidR="001C47BA" w:rsidRPr="007D4DDF">
        <w:rPr>
          <w:rFonts w:ascii="Times New Roman" w:hAnsi="Times New Roman"/>
          <w:color w:val="000000"/>
          <w:spacing w:val="1"/>
        </w:rPr>
        <w:t>gh</w:t>
      </w:r>
      <w:r w:rsidR="001C47BA" w:rsidRPr="007D4DDF">
        <w:rPr>
          <w:rFonts w:ascii="Times New Roman" w:hAnsi="Times New Roman"/>
          <w:color w:val="000000"/>
        </w:rPr>
        <w:t>t</w:t>
      </w:r>
      <w:r w:rsidR="007D7E29" w:rsidRPr="007D4DDF">
        <w:rPr>
          <w:rFonts w:ascii="Times New Roman" w:hAnsi="Times New Roman"/>
          <w:color w:val="000000"/>
        </w:rPr>
        <w:t xml:space="preserve"> </w:t>
      </w:r>
      <w:r w:rsidR="001C47BA" w:rsidRPr="007D4DDF">
        <w:rPr>
          <w:rFonts w:ascii="Times New Roman" w:hAnsi="Times New Roman"/>
          <w:color w:val="000000"/>
        </w:rPr>
        <w:t>to housing, encompassing</w:t>
      </w:r>
      <w:r w:rsidR="007D7E29" w:rsidRPr="007D4DDF">
        <w:rPr>
          <w:rFonts w:ascii="Times New Roman" w:hAnsi="Times New Roman"/>
          <w:color w:val="000000"/>
        </w:rPr>
        <w:t xml:space="preserve"> </w:t>
      </w:r>
      <w:r w:rsidR="001C47BA" w:rsidRPr="007D4DDF">
        <w:rPr>
          <w:rFonts w:ascii="Times New Roman" w:hAnsi="Times New Roman"/>
          <w:color w:val="000000"/>
        </w:rPr>
        <w:t>the</w:t>
      </w:r>
      <w:r w:rsidR="007D7E29" w:rsidRPr="007D4DDF">
        <w:rPr>
          <w:rFonts w:ascii="Times New Roman" w:hAnsi="Times New Roman"/>
          <w:color w:val="000000"/>
        </w:rPr>
        <w:t xml:space="preserve"> </w:t>
      </w:r>
      <w:r w:rsidR="001C47BA" w:rsidRPr="007D4DDF">
        <w:rPr>
          <w:rFonts w:ascii="Times New Roman" w:hAnsi="Times New Roman"/>
          <w:color w:val="000000"/>
        </w:rPr>
        <w:lastRenderedPageBreak/>
        <w:t>prev</w:t>
      </w:r>
      <w:r w:rsidR="001C47BA" w:rsidRPr="007D4DDF">
        <w:rPr>
          <w:rFonts w:ascii="Times New Roman" w:hAnsi="Times New Roman"/>
          <w:color w:val="000000"/>
          <w:spacing w:val="1"/>
        </w:rPr>
        <w:t>e</w:t>
      </w:r>
      <w:r w:rsidR="001C47BA" w:rsidRPr="007D4DDF">
        <w:rPr>
          <w:rFonts w:ascii="Times New Roman" w:hAnsi="Times New Roman"/>
          <w:color w:val="000000"/>
        </w:rPr>
        <w:t>ntion</w:t>
      </w:r>
      <w:r w:rsidR="007D7E29" w:rsidRPr="007D4DDF">
        <w:rPr>
          <w:rFonts w:ascii="Times New Roman" w:hAnsi="Times New Roman"/>
          <w:color w:val="000000"/>
        </w:rPr>
        <w:t xml:space="preserve"> </w:t>
      </w:r>
      <w:r w:rsidR="001C47BA" w:rsidRPr="007D4DDF">
        <w:rPr>
          <w:rFonts w:ascii="Times New Roman" w:hAnsi="Times New Roman"/>
          <w:color w:val="000000"/>
        </w:rPr>
        <w:t>of</w:t>
      </w:r>
      <w:r w:rsidR="007D7E29" w:rsidRPr="007D4DDF">
        <w:rPr>
          <w:rFonts w:ascii="Times New Roman" w:hAnsi="Times New Roman"/>
          <w:color w:val="000000"/>
        </w:rPr>
        <w:t xml:space="preserve"> </w:t>
      </w:r>
      <w:r w:rsidR="001C47BA" w:rsidRPr="007D4DDF">
        <w:rPr>
          <w:rFonts w:ascii="Times New Roman" w:hAnsi="Times New Roman"/>
          <w:color w:val="000000"/>
        </w:rPr>
        <w:t>evictions,</w:t>
      </w:r>
      <w:r w:rsidR="007D7E29" w:rsidRPr="007D4DDF">
        <w:rPr>
          <w:rFonts w:ascii="Times New Roman" w:hAnsi="Times New Roman"/>
          <w:color w:val="000000"/>
        </w:rPr>
        <w:t xml:space="preserve"> </w:t>
      </w:r>
      <w:r w:rsidR="001C47BA" w:rsidRPr="007D4DDF">
        <w:rPr>
          <w:rFonts w:ascii="Times New Roman" w:hAnsi="Times New Roman"/>
          <w:color w:val="000000"/>
        </w:rPr>
        <w:t>ear</w:t>
      </w:r>
      <w:r w:rsidR="001C47BA" w:rsidRPr="007D4DDF">
        <w:rPr>
          <w:rFonts w:ascii="Times New Roman" w:hAnsi="Times New Roman"/>
          <w:color w:val="000000"/>
          <w:spacing w:val="1"/>
        </w:rPr>
        <w:t>l</w:t>
      </w:r>
      <w:r w:rsidR="001C47BA" w:rsidRPr="007D4DDF">
        <w:rPr>
          <w:rFonts w:ascii="Times New Roman" w:hAnsi="Times New Roman"/>
          <w:color w:val="000000"/>
        </w:rPr>
        <w:t>y int</w:t>
      </w:r>
      <w:r w:rsidR="001C47BA" w:rsidRPr="007D4DDF">
        <w:rPr>
          <w:rFonts w:ascii="Times New Roman" w:hAnsi="Times New Roman"/>
          <w:color w:val="000000"/>
          <w:spacing w:val="1"/>
        </w:rPr>
        <w:t>e</w:t>
      </w:r>
      <w:r w:rsidR="001C47BA" w:rsidRPr="007D4DDF">
        <w:rPr>
          <w:rFonts w:ascii="Times New Roman" w:hAnsi="Times New Roman"/>
          <w:color w:val="000000"/>
        </w:rPr>
        <w:t>rvention,</w:t>
      </w:r>
      <w:r w:rsidR="007D7E29" w:rsidRPr="007D4DDF">
        <w:rPr>
          <w:rFonts w:ascii="Times New Roman" w:hAnsi="Times New Roman"/>
          <w:color w:val="000000"/>
        </w:rPr>
        <w:t xml:space="preserve"> </w:t>
      </w:r>
      <w:r w:rsidR="0070409C" w:rsidRPr="007D4DDF">
        <w:rPr>
          <w:rFonts w:ascii="Times New Roman" w:hAnsi="Times New Roman"/>
          <w:color w:val="000000"/>
        </w:rPr>
        <w:t>the provision of</w:t>
      </w:r>
      <w:r w:rsidR="007D7E29" w:rsidRPr="007D4DDF">
        <w:rPr>
          <w:rFonts w:ascii="Times New Roman" w:hAnsi="Times New Roman"/>
          <w:color w:val="000000"/>
        </w:rPr>
        <w:t xml:space="preserve"> </w:t>
      </w:r>
      <w:r w:rsidR="001C47BA" w:rsidRPr="007D4DDF">
        <w:rPr>
          <w:rFonts w:ascii="Times New Roman" w:hAnsi="Times New Roman"/>
          <w:color w:val="000000"/>
        </w:rPr>
        <w:t>s</w:t>
      </w:r>
      <w:r w:rsidR="001C47BA" w:rsidRPr="007D4DDF">
        <w:rPr>
          <w:rFonts w:ascii="Times New Roman" w:hAnsi="Times New Roman"/>
          <w:color w:val="000000"/>
          <w:spacing w:val="1"/>
        </w:rPr>
        <w:t>u</w:t>
      </w:r>
      <w:r w:rsidR="001C47BA" w:rsidRPr="007D4DDF">
        <w:rPr>
          <w:rFonts w:ascii="Times New Roman" w:hAnsi="Times New Roman"/>
          <w:color w:val="000000"/>
        </w:rPr>
        <w:t>pport</w:t>
      </w:r>
      <w:r w:rsidR="007D7E29" w:rsidRPr="007D4DDF">
        <w:rPr>
          <w:rFonts w:ascii="Times New Roman" w:hAnsi="Times New Roman"/>
          <w:color w:val="000000"/>
        </w:rPr>
        <w:t xml:space="preserve"> </w:t>
      </w:r>
      <w:r w:rsidR="001C47BA" w:rsidRPr="007D4DDF">
        <w:rPr>
          <w:rFonts w:ascii="Times New Roman" w:hAnsi="Times New Roman"/>
          <w:color w:val="000000"/>
        </w:rPr>
        <w:t>for</w:t>
      </w:r>
      <w:r w:rsidR="007D7E29" w:rsidRPr="007D4DDF">
        <w:rPr>
          <w:rFonts w:ascii="Times New Roman" w:hAnsi="Times New Roman"/>
          <w:color w:val="000000"/>
        </w:rPr>
        <w:t xml:space="preserve"> </w:t>
      </w:r>
      <w:r w:rsidR="001C47BA" w:rsidRPr="007D4DDF">
        <w:rPr>
          <w:rFonts w:ascii="Times New Roman" w:hAnsi="Times New Roman"/>
          <w:color w:val="000000"/>
        </w:rPr>
        <w:t>t</w:t>
      </w:r>
      <w:r w:rsidR="001C47BA" w:rsidRPr="007D4DDF">
        <w:rPr>
          <w:rFonts w:ascii="Times New Roman" w:hAnsi="Times New Roman"/>
          <w:color w:val="000000"/>
          <w:spacing w:val="1"/>
        </w:rPr>
        <w:t>h</w:t>
      </w:r>
      <w:r w:rsidR="001C47BA" w:rsidRPr="007D4DDF">
        <w:rPr>
          <w:rFonts w:ascii="Times New Roman" w:hAnsi="Times New Roman"/>
          <w:color w:val="000000"/>
        </w:rPr>
        <w:t>e</w:t>
      </w:r>
      <w:r w:rsidR="007D7E29" w:rsidRPr="007D4DDF">
        <w:rPr>
          <w:rFonts w:ascii="Times New Roman" w:hAnsi="Times New Roman"/>
          <w:color w:val="000000"/>
        </w:rPr>
        <w:t xml:space="preserve"> </w:t>
      </w:r>
      <w:r w:rsidR="001C47BA" w:rsidRPr="007D4DDF">
        <w:rPr>
          <w:rFonts w:ascii="Times New Roman" w:hAnsi="Times New Roman"/>
          <w:color w:val="000000"/>
        </w:rPr>
        <w:t>rap</w:t>
      </w:r>
      <w:r w:rsidR="001C47BA" w:rsidRPr="007D4DDF">
        <w:rPr>
          <w:rFonts w:ascii="Times New Roman" w:hAnsi="Times New Roman"/>
          <w:color w:val="000000"/>
          <w:spacing w:val="1"/>
        </w:rPr>
        <w:t>i</w:t>
      </w:r>
      <w:r w:rsidR="001C47BA" w:rsidRPr="007D4DDF">
        <w:rPr>
          <w:rFonts w:ascii="Times New Roman" w:hAnsi="Times New Roman"/>
          <w:color w:val="000000"/>
        </w:rPr>
        <w:t>d rehousing of</w:t>
      </w:r>
      <w:r w:rsidR="007D7E29" w:rsidRPr="007D4DDF">
        <w:rPr>
          <w:rFonts w:ascii="Times New Roman" w:hAnsi="Times New Roman"/>
          <w:color w:val="000000"/>
        </w:rPr>
        <w:t xml:space="preserve"> </w:t>
      </w:r>
      <w:r w:rsidR="001C47BA" w:rsidRPr="007D4DDF">
        <w:rPr>
          <w:rFonts w:ascii="Times New Roman" w:hAnsi="Times New Roman"/>
          <w:color w:val="000000"/>
        </w:rPr>
        <w:t>those</w:t>
      </w:r>
      <w:r w:rsidR="007D7E29" w:rsidRPr="007D4DDF">
        <w:rPr>
          <w:rFonts w:ascii="Times New Roman" w:hAnsi="Times New Roman"/>
          <w:color w:val="000000"/>
        </w:rPr>
        <w:t xml:space="preserve"> </w:t>
      </w:r>
      <w:r w:rsidR="001C47BA" w:rsidRPr="007D4DDF">
        <w:rPr>
          <w:rFonts w:ascii="Times New Roman" w:hAnsi="Times New Roman"/>
          <w:color w:val="000000"/>
        </w:rPr>
        <w:t>evicted</w:t>
      </w:r>
      <w:r w:rsidR="007D7E29" w:rsidRPr="007D4DDF">
        <w:rPr>
          <w:rFonts w:ascii="Times New Roman" w:hAnsi="Times New Roman"/>
          <w:color w:val="000000"/>
        </w:rPr>
        <w:t xml:space="preserve"> </w:t>
      </w:r>
      <w:r w:rsidR="001C47BA" w:rsidRPr="007D4DDF">
        <w:rPr>
          <w:rFonts w:ascii="Times New Roman" w:hAnsi="Times New Roman"/>
          <w:color w:val="000000"/>
        </w:rPr>
        <w:t>and</w:t>
      </w:r>
      <w:r w:rsidR="007D7E29" w:rsidRPr="007D4DDF">
        <w:rPr>
          <w:rFonts w:ascii="Times New Roman" w:hAnsi="Times New Roman"/>
          <w:color w:val="000000"/>
        </w:rPr>
        <w:t xml:space="preserve"> </w:t>
      </w:r>
      <w:r w:rsidR="0070409C" w:rsidRPr="007D4DDF">
        <w:rPr>
          <w:rFonts w:ascii="Times New Roman" w:hAnsi="Times New Roman"/>
          <w:color w:val="000000"/>
        </w:rPr>
        <w:t>the measurement of</w:t>
      </w:r>
      <w:r w:rsidR="001C47BA" w:rsidRPr="007D4DDF">
        <w:rPr>
          <w:rFonts w:ascii="Times New Roman" w:hAnsi="Times New Roman"/>
          <w:color w:val="000000"/>
        </w:rPr>
        <w:t xml:space="preserve"> the</w:t>
      </w:r>
      <w:r w:rsidR="007D7E29" w:rsidRPr="007D4DDF">
        <w:rPr>
          <w:rFonts w:ascii="Times New Roman" w:hAnsi="Times New Roman"/>
          <w:color w:val="000000"/>
        </w:rPr>
        <w:t xml:space="preserve"> </w:t>
      </w:r>
      <w:r w:rsidR="001C47BA" w:rsidRPr="007D4DDF">
        <w:rPr>
          <w:rFonts w:ascii="Times New Roman" w:hAnsi="Times New Roman"/>
          <w:color w:val="000000"/>
        </w:rPr>
        <w:t>impacts</w:t>
      </w:r>
      <w:r w:rsidR="007D7E29" w:rsidRPr="007D4DDF">
        <w:rPr>
          <w:rFonts w:ascii="Times New Roman" w:hAnsi="Times New Roman"/>
          <w:color w:val="000000"/>
        </w:rPr>
        <w:t xml:space="preserve"> </w:t>
      </w:r>
      <w:r w:rsidR="001C47BA" w:rsidRPr="007D4DDF">
        <w:rPr>
          <w:rFonts w:ascii="Times New Roman" w:hAnsi="Times New Roman"/>
          <w:color w:val="000000"/>
        </w:rPr>
        <w:t>of</w:t>
      </w:r>
      <w:r w:rsidR="00951181" w:rsidRPr="007D4DDF">
        <w:rPr>
          <w:rFonts w:ascii="Times New Roman" w:hAnsi="Times New Roman"/>
          <w:color w:val="000000"/>
        </w:rPr>
        <w:t xml:space="preserve"> </w:t>
      </w:r>
      <w:r w:rsidR="001C47BA" w:rsidRPr="007D4DDF">
        <w:rPr>
          <w:rFonts w:ascii="Times New Roman" w:hAnsi="Times New Roman"/>
          <w:color w:val="000000"/>
        </w:rPr>
        <w:t>eviction</w:t>
      </w:r>
      <w:r w:rsidR="00EF7833" w:rsidRPr="007D4DDF">
        <w:rPr>
          <w:rFonts w:ascii="Times New Roman" w:hAnsi="Times New Roman"/>
          <w:color w:val="000000"/>
        </w:rPr>
        <w:t xml:space="preserve"> on </w:t>
      </w:r>
      <w:r w:rsidR="001C47BA" w:rsidRPr="007D4DDF">
        <w:rPr>
          <w:rFonts w:ascii="Times New Roman" w:hAnsi="Times New Roman"/>
          <w:color w:val="000000"/>
        </w:rPr>
        <w:t>homelessne</w:t>
      </w:r>
      <w:r w:rsidR="001C47BA" w:rsidRPr="007D4DDF">
        <w:rPr>
          <w:rFonts w:ascii="Times New Roman" w:hAnsi="Times New Roman"/>
          <w:color w:val="000000"/>
          <w:spacing w:val="2"/>
        </w:rPr>
        <w:t>s</w:t>
      </w:r>
      <w:r w:rsidR="001C47BA" w:rsidRPr="007D4DDF">
        <w:rPr>
          <w:rFonts w:ascii="Times New Roman" w:hAnsi="Times New Roman"/>
          <w:color w:val="000000"/>
        </w:rPr>
        <w:t>s.</w:t>
      </w:r>
    </w:p>
    <w:p w14:paraId="26359B90" w14:textId="192A6B3E" w:rsidR="001A4592" w:rsidRDefault="00011E2D"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This </w:t>
      </w:r>
      <w:r w:rsidR="00222C58" w:rsidRPr="007D4DDF">
        <w:rPr>
          <w:rFonts w:ascii="Times New Roman" w:hAnsi="Times New Roman"/>
          <w:color w:val="000000"/>
        </w:rPr>
        <w:t>i</w:t>
      </w:r>
      <w:r w:rsidRPr="007D4DDF">
        <w:rPr>
          <w:rFonts w:ascii="Times New Roman" w:hAnsi="Times New Roman"/>
          <w:color w:val="000000"/>
        </w:rPr>
        <w:t xml:space="preserve">ntroduction </w:t>
      </w:r>
      <w:r w:rsidR="00DF65A6">
        <w:rPr>
          <w:rFonts w:ascii="Times New Roman" w:hAnsi="Times New Roman"/>
          <w:color w:val="000000"/>
        </w:rPr>
        <w:t xml:space="preserve">and each chapter </w:t>
      </w:r>
      <w:proofErr w:type="gramStart"/>
      <w:r w:rsidRPr="007D4DDF">
        <w:rPr>
          <w:rFonts w:ascii="Times New Roman" w:hAnsi="Times New Roman"/>
          <w:color w:val="000000"/>
        </w:rPr>
        <w:t>examines</w:t>
      </w:r>
      <w:proofErr w:type="gramEnd"/>
      <w:r w:rsidRPr="007D4DDF">
        <w:rPr>
          <w:rFonts w:ascii="Times New Roman" w:hAnsi="Times New Roman"/>
          <w:color w:val="000000"/>
        </w:rPr>
        <w:t xml:space="preserve"> evictions within</w:t>
      </w:r>
      <w:r w:rsidR="00DF65A6">
        <w:rPr>
          <w:rFonts w:ascii="Times New Roman" w:hAnsi="Times New Roman"/>
          <w:color w:val="000000"/>
        </w:rPr>
        <w:t xml:space="preserve"> the relevant s</w:t>
      </w:r>
      <w:r w:rsidR="00254497" w:rsidRPr="007D4DDF">
        <w:rPr>
          <w:rFonts w:ascii="Times New Roman" w:hAnsi="Times New Roman"/>
          <w:color w:val="000000"/>
        </w:rPr>
        <w:t xml:space="preserve">ocial, </w:t>
      </w:r>
      <w:r w:rsidRPr="007D4DDF">
        <w:rPr>
          <w:rFonts w:ascii="Times New Roman" w:hAnsi="Times New Roman"/>
          <w:color w:val="000000"/>
        </w:rPr>
        <w:t>po</w:t>
      </w:r>
      <w:r w:rsidR="00A70146" w:rsidRPr="007D4DDF">
        <w:rPr>
          <w:rFonts w:ascii="Times New Roman" w:hAnsi="Times New Roman"/>
          <w:color w:val="000000"/>
        </w:rPr>
        <w:t xml:space="preserve">licy, </w:t>
      </w:r>
      <w:r w:rsidRPr="007D4DDF">
        <w:rPr>
          <w:rFonts w:ascii="Times New Roman" w:hAnsi="Times New Roman"/>
          <w:color w:val="000000"/>
        </w:rPr>
        <w:t>legal/human rights</w:t>
      </w:r>
      <w:r w:rsidR="001D4C65" w:rsidRPr="007D4DDF">
        <w:rPr>
          <w:rFonts w:ascii="Times New Roman" w:hAnsi="Times New Roman"/>
          <w:color w:val="000000"/>
        </w:rPr>
        <w:t>, and</w:t>
      </w:r>
      <w:r w:rsidRPr="007D4DDF">
        <w:rPr>
          <w:rFonts w:ascii="Times New Roman" w:hAnsi="Times New Roman"/>
          <w:color w:val="000000"/>
        </w:rPr>
        <w:t xml:space="preserve"> substantive</w:t>
      </w:r>
      <w:r w:rsidR="00DF65A6">
        <w:rPr>
          <w:rFonts w:ascii="Times New Roman" w:hAnsi="Times New Roman"/>
          <w:color w:val="000000"/>
        </w:rPr>
        <w:t xml:space="preserve"> frameworks.</w:t>
      </w:r>
      <w:r w:rsidR="00DF65A6" w:rsidRPr="007D4DDF">
        <w:rPr>
          <w:rFonts w:ascii="Times New Roman" w:hAnsi="Times New Roman"/>
          <w:color w:val="000000"/>
        </w:rPr>
        <w:t xml:space="preserve"> </w:t>
      </w:r>
      <w:r w:rsidR="00254497" w:rsidRPr="007D4DDF">
        <w:rPr>
          <w:rFonts w:ascii="Times New Roman" w:hAnsi="Times New Roman"/>
          <w:color w:val="000000"/>
        </w:rPr>
        <w:t xml:space="preserve">The social </w:t>
      </w:r>
      <w:r w:rsidR="00A70146" w:rsidRPr="007D4DDF">
        <w:rPr>
          <w:rFonts w:ascii="Times New Roman" w:hAnsi="Times New Roman"/>
          <w:color w:val="000000"/>
        </w:rPr>
        <w:t xml:space="preserve">context </w:t>
      </w:r>
      <w:r w:rsidR="00254497" w:rsidRPr="007D4DDF">
        <w:rPr>
          <w:rFonts w:ascii="Times New Roman" w:hAnsi="Times New Roman"/>
          <w:color w:val="000000"/>
        </w:rPr>
        <w:t xml:space="preserve">considers wider issues </w:t>
      </w:r>
      <w:r w:rsidR="00BB03F5" w:rsidRPr="007D4DDF">
        <w:rPr>
          <w:rFonts w:ascii="Times New Roman" w:hAnsi="Times New Roman"/>
          <w:color w:val="000000"/>
        </w:rPr>
        <w:t xml:space="preserve">relating to </w:t>
      </w:r>
      <w:r w:rsidR="00254497" w:rsidRPr="007D4DDF">
        <w:rPr>
          <w:rFonts w:ascii="Times New Roman" w:hAnsi="Times New Roman"/>
          <w:color w:val="000000"/>
        </w:rPr>
        <w:t>housing s</w:t>
      </w:r>
      <w:r w:rsidR="00A70146" w:rsidRPr="007D4DDF">
        <w:rPr>
          <w:rFonts w:ascii="Times New Roman" w:hAnsi="Times New Roman"/>
          <w:color w:val="000000"/>
        </w:rPr>
        <w:t>ystems and social conditions set out in research by national experts.</w:t>
      </w:r>
      <w:r w:rsidR="00456CFD" w:rsidRPr="007D4DDF">
        <w:rPr>
          <w:rFonts w:ascii="Times New Roman" w:hAnsi="Times New Roman"/>
          <w:color w:val="000000"/>
        </w:rPr>
        <w:t xml:space="preserve"> </w:t>
      </w:r>
      <w:r w:rsidRPr="007D4DDF">
        <w:rPr>
          <w:rFonts w:ascii="Times New Roman" w:hAnsi="Times New Roman"/>
          <w:color w:val="000000"/>
        </w:rPr>
        <w:t>The policy section considers the general housing policies of the selected countries, as well as specific policies focus</w:t>
      </w:r>
      <w:r w:rsidR="006771D4" w:rsidRPr="007D4DDF">
        <w:rPr>
          <w:rFonts w:ascii="Times New Roman" w:hAnsi="Times New Roman"/>
          <w:color w:val="000000"/>
        </w:rPr>
        <w:t>ed</w:t>
      </w:r>
      <w:r w:rsidRPr="007D4DDF">
        <w:rPr>
          <w:rFonts w:ascii="Times New Roman" w:hAnsi="Times New Roman"/>
          <w:color w:val="000000"/>
        </w:rPr>
        <w:t xml:space="preserve"> on evictions. It </w:t>
      </w:r>
      <w:r w:rsidR="009134ED" w:rsidRPr="007D4DDF">
        <w:rPr>
          <w:rFonts w:ascii="Times New Roman" w:hAnsi="Times New Roman"/>
          <w:color w:val="000000"/>
        </w:rPr>
        <w:t>summari</w:t>
      </w:r>
      <w:r w:rsidR="009134ED">
        <w:rPr>
          <w:rFonts w:ascii="Times New Roman" w:hAnsi="Times New Roman"/>
          <w:color w:val="000000"/>
        </w:rPr>
        <w:t>z</w:t>
      </w:r>
      <w:r w:rsidR="009134ED" w:rsidRPr="007D4DDF">
        <w:rPr>
          <w:rFonts w:ascii="Times New Roman" w:hAnsi="Times New Roman"/>
          <w:color w:val="000000"/>
        </w:rPr>
        <w:t xml:space="preserve">es </w:t>
      </w:r>
      <w:r w:rsidRPr="007D4DDF">
        <w:rPr>
          <w:rFonts w:ascii="Times New Roman" w:hAnsi="Times New Roman"/>
          <w:color w:val="000000"/>
        </w:rPr>
        <w:t xml:space="preserve">the range of measures which prevent and counter evictions. The legal/human rights </w:t>
      </w:r>
      <w:r w:rsidR="00456CFD" w:rsidRPr="007D4DDF">
        <w:rPr>
          <w:rFonts w:ascii="Times New Roman" w:hAnsi="Times New Roman"/>
          <w:color w:val="000000"/>
        </w:rPr>
        <w:t xml:space="preserve">context involves a range of </w:t>
      </w:r>
      <w:r w:rsidRPr="007D4DDF">
        <w:rPr>
          <w:rFonts w:ascii="Times New Roman" w:hAnsi="Times New Roman"/>
          <w:color w:val="000000"/>
        </w:rPr>
        <w:t xml:space="preserve">human rights and legal frameworks applicable to evictions. These originate from </w:t>
      </w:r>
      <w:r w:rsidR="00254497" w:rsidRPr="007D4DDF">
        <w:rPr>
          <w:rFonts w:ascii="Times New Roman" w:hAnsi="Times New Roman"/>
          <w:color w:val="000000"/>
        </w:rPr>
        <w:t>international, regional</w:t>
      </w:r>
      <w:r w:rsidR="00CC3EDB" w:rsidRPr="007D4DDF">
        <w:rPr>
          <w:rFonts w:ascii="Times New Roman" w:hAnsi="Times New Roman"/>
          <w:color w:val="000000"/>
        </w:rPr>
        <w:t xml:space="preserve"> and</w:t>
      </w:r>
      <w:r w:rsidR="00254497" w:rsidRPr="007D4DDF">
        <w:rPr>
          <w:rFonts w:ascii="Times New Roman" w:hAnsi="Times New Roman"/>
          <w:color w:val="000000"/>
        </w:rPr>
        <w:t xml:space="preserve"> national constitutional and legislative provisions. </w:t>
      </w:r>
      <w:r w:rsidR="00F74A5E" w:rsidRPr="007D4DDF">
        <w:rPr>
          <w:rFonts w:ascii="Times New Roman" w:hAnsi="Times New Roman"/>
          <w:color w:val="000000"/>
        </w:rPr>
        <w:t xml:space="preserve">The </w:t>
      </w:r>
      <w:r w:rsidR="00254497" w:rsidRPr="007D4DDF">
        <w:rPr>
          <w:rFonts w:ascii="Times New Roman" w:hAnsi="Times New Roman"/>
          <w:color w:val="000000"/>
        </w:rPr>
        <w:t xml:space="preserve">legal basis </w:t>
      </w:r>
      <w:r w:rsidR="00F74A5E" w:rsidRPr="007D4DDF">
        <w:rPr>
          <w:rFonts w:ascii="Times New Roman" w:hAnsi="Times New Roman"/>
          <w:color w:val="000000"/>
        </w:rPr>
        <w:t xml:space="preserve">and </w:t>
      </w:r>
      <w:r w:rsidR="00254497" w:rsidRPr="007D4DDF">
        <w:rPr>
          <w:rFonts w:ascii="Times New Roman" w:hAnsi="Times New Roman"/>
          <w:color w:val="000000"/>
        </w:rPr>
        <w:t>procedures for evictions across tenures</w:t>
      </w:r>
      <w:r w:rsidR="00F74A5E" w:rsidRPr="007D4DDF">
        <w:rPr>
          <w:rFonts w:ascii="Times New Roman" w:hAnsi="Times New Roman"/>
          <w:color w:val="000000"/>
        </w:rPr>
        <w:t xml:space="preserve"> are explored as well as an outline of </w:t>
      </w:r>
      <w:r w:rsidR="00254497" w:rsidRPr="007D4DDF">
        <w:rPr>
          <w:rFonts w:ascii="Times New Roman" w:hAnsi="Times New Roman"/>
          <w:color w:val="000000"/>
        </w:rPr>
        <w:t>key emerging development</w:t>
      </w:r>
      <w:r w:rsidR="00CC3EDB" w:rsidRPr="007D4DDF">
        <w:rPr>
          <w:rFonts w:ascii="Times New Roman" w:hAnsi="Times New Roman"/>
          <w:color w:val="000000"/>
        </w:rPr>
        <w:t>s</w:t>
      </w:r>
      <w:r w:rsidR="00254497" w:rsidRPr="007D4DDF">
        <w:rPr>
          <w:rFonts w:ascii="Times New Roman" w:hAnsi="Times New Roman"/>
          <w:color w:val="000000"/>
        </w:rPr>
        <w:t>.</w:t>
      </w:r>
      <w:r w:rsidR="00691151" w:rsidRPr="007D4DDF">
        <w:rPr>
          <w:rFonts w:ascii="Times New Roman" w:hAnsi="Times New Roman"/>
          <w:color w:val="000000"/>
        </w:rPr>
        <w:t xml:space="preserve"> </w:t>
      </w:r>
      <w:r w:rsidRPr="007D4DDF">
        <w:rPr>
          <w:rFonts w:ascii="Times New Roman" w:hAnsi="Times New Roman"/>
          <w:color w:val="000000"/>
        </w:rPr>
        <w:t>The substantive section examines the</w:t>
      </w:r>
      <w:r w:rsidR="00254497" w:rsidRPr="007D4DDF">
        <w:rPr>
          <w:rFonts w:ascii="Times New Roman" w:hAnsi="Times New Roman"/>
          <w:color w:val="000000"/>
        </w:rPr>
        <w:t xml:space="preserve"> structural and other risk factors which lead to evictions, as well as examin</w:t>
      </w:r>
      <w:r w:rsidR="00CC3EDB" w:rsidRPr="007D4DDF">
        <w:rPr>
          <w:rFonts w:ascii="Times New Roman" w:hAnsi="Times New Roman"/>
          <w:color w:val="000000"/>
        </w:rPr>
        <w:t>ing</w:t>
      </w:r>
      <w:r w:rsidR="00254497" w:rsidRPr="007D4DDF">
        <w:rPr>
          <w:rFonts w:ascii="Times New Roman" w:hAnsi="Times New Roman"/>
          <w:color w:val="000000"/>
        </w:rPr>
        <w:t xml:space="preserve"> the nature and extent of evictions across tenures and countries. Data availability issues</w:t>
      </w:r>
      <w:r w:rsidR="001D4C65" w:rsidRPr="007D4DDF">
        <w:rPr>
          <w:rFonts w:ascii="Times New Roman" w:hAnsi="Times New Roman"/>
          <w:color w:val="000000"/>
        </w:rPr>
        <w:t xml:space="preserve"> </w:t>
      </w:r>
      <w:r w:rsidR="00254497" w:rsidRPr="007D4DDF">
        <w:rPr>
          <w:rFonts w:ascii="Times New Roman" w:hAnsi="Times New Roman"/>
          <w:color w:val="000000"/>
        </w:rPr>
        <w:t xml:space="preserve">are </w:t>
      </w:r>
      <w:r w:rsidR="009134ED" w:rsidRPr="007D4DDF">
        <w:rPr>
          <w:rFonts w:ascii="Times New Roman" w:hAnsi="Times New Roman"/>
          <w:color w:val="000000"/>
        </w:rPr>
        <w:t>summari</w:t>
      </w:r>
      <w:r w:rsidR="009134ED">
        <w:rPr>
          <w:rFonts w:ascii="Times New Roman" w:hAnsi="Times New Roman"/>
          <w:color w:val="000000"/>
        </w:rPr>
        <w:t>z</w:t>
      </w:r>
      <w:r w:rsidR="009134ED" w:rsidRPr="007D4DDF">
        <w:rPr>
          <w:rFonts w:ascii="Times New Roman" w:hAnsi="Times New Roman"/>
          <w:color w:val="000000"/>
        </w:rPr>
        <w:t xml:space="preserve">ed </w:t>
      </w:r>
      <w:r w:rsidR="00254497" w:rsidRPr="007D4DDF">
        <w:rPr>
          <w:rFonts w:ascii="Times New Roman" w:hAnsi="Times New Roman"/>
          <w:color w:val="000000"/>
        </w:rPr>
        <w:t xml:space="preserve">and </w:t>
      </w:r>
      <w:r w:rsidR="00456CFD" w:rsidRPr="007D4DDF">
        <w:rPr>
          <w:rFonts w:ascii="Times New Roman" w:hAnsi="Times New Roman"/>
          <w:color w:val="000000"/>
        </w:rPr>
        <w:t>examined.</w:t>
      </w:r>
    </w:p>
    <w:p w14:paraId="0B60EED6" w14:textId="77777777" w:rsidR="006E160F" w:rsidRPr="007D4DDF" w:rsidRDefault="006E160F" w:rsidP="00777703">
      <w:pPr>
        <w:pStyle w:val="normal12"/>
        <w:suppressAutoHyphens/>
        <w:spacing w:before="0" w:line="240" w:lineRule="auto"/>
        <w:jc w:val="left"/>
        <w:rPr>
          <w:rFonts w:ascii="Times New Roman" w:hAnsi="Times New Roman"/>
          <w:color w:val="000000"/>
        </w:rPr>
      </w:pPr>
    </w:p>
    <w:p w14:paraId="719DB967" w14:textId="70C6221A" w:rsidR="001A4592" w:rsidRPr="007D4DDF" w:rsidRDefault="006E160F" w:rsidP="00AF3ACC">
      <w:pPr>
        <w:pStyle w:val="Heading2"/>
        <w:numPr>
          <w:ilvl w:val="1"/>
          <w:numId w:val="25"/>
        </w:numPr>
        <w:tabs>
          <w:tab w:val="left" w:pos="1134"/>
        </w:tabs>
        <w:spacing w:before="0" w:after="120" w:line="240" w:lineRule="auto"/>
        <w:rPr>
          <w:rFonts w:ascii="Times New Roman" w:hAnsi="Times New Roman"/>
        </w:rPr>
      </w:pPr>
      <w:bookmarkStart w:id="1" w:name="_Toc508191189"/>
      <w:r>
        <w:rPr>
          <w:rFonts w:ascii="Times New Roman" w:hAnsi="Times New Roman"/>
          <w:color w:val="000000"/>
        </w:rPr>
        <w:t xml:space="preserve"> </w:t>
      </w:r>
      <w:r w:rsidR="00456CFD" w:rsidRPr="007D4DDF">
        <w:rPr>
          <w:rFonts w:ascii="Times New Roman" w:hAnsi="Times New Roman"/>
          <w:color w:val="000000"/>
        </w:rPr>
        <w:t>T</w:t>
      </w:r>
      <w:r w:rsidR="00694CE2" w:rsidRPr="007D4DDF">
        <w:rPr>
          <w:rFonts w:ascii="Times New Roman" w:hAnsi="Times New Roman"/>
        </w:rPr>
        <w:t xml:space="preserve">he </w:t>
      </w:r>
      <w:r w:rsidR="00B72C04" w:rsidRPr="007D4DDF">
        <w:rPr>
          <w:rFonts w:ascii="Times New Roman" w:hAnsi="Times New Roman"/>
        </w:rPr>
        <w:t>C</w:t>
      </w:r>
      <w:r w:rsidR="008D20C6" w:rsidRPr="007D4DDF">
        <w:rPr>
          <w:rFonts w:ascii="Times New Roman" w:hAnsi="Times New Roman"/>
        </w:rPr>
        <w:t>oncept</w:t>
      </w:r>
      <w:r w:rsidR="0036481E" w:rsidRPr="007D4DDF">
        <w:rPr>
          <w:rFonts w:ascii="Times New Roman" w:hAnsi="Times New Roman"/>
        </w:rPr>
        <w:t>s</w:t>
      </w:r>
      <w:r w:rsidR="008D20C6" w:rsidRPr="007D4DDF">
        <w:rPr>
          <w:rFonts w:ascii="Times New Roman" w:hAnsi="Times New Roman"/>
        </w:rPr>
        <w:t xml:space="preserve"> of </w:t>
      </w:r>
      <w:r w:rsidR="00753AA9" w:rsidRPr="007D4DDF">
        <w:rPr>
          <w:rFonts w:ascii="Times New Roman" w:hAnsi="Times New Roman"/>
        </w:rPr>
        <w:t>‘</w:t>
      </w:r>
      <w:r w:rsidR="00B72C04" w:rsidRPr="007D4DDF">
        <w:rPr>
          <w:rFonts w:ascii="Times New Roman" w:hAnsi="Times New Roman"/>
        </w:rPr>
        <w:t>H</w:t>
      </w:r>
      <w:r w:rsidR="008D20C6" w:rsidRPr="007D4DDF">
        <w:rPr>
          <w:rFonts w:ascii="Times New Roman" w:hAnsi="Times New Roman"/>
        </w:rPr>
        <w:t>ome</w:t>
      </w:r>
      <w:r w:rsidR="00753AA9" w:rsidRPr="007D4DDF">
        <w:rPr>
          <w:rFonts w:ascii="Times New Roman" w:hAnsi="Times New Roman"/>
        </w:rPr>
        <w:t>’</w:t>
      </w:r>
      <w:r w:rsidR="008D20C6" w:rsidRPr="007D4DDF">
        <w:rPr>
          <w:rFonts w:ascii="Times New Roman" w:hAnsi="Times New Roman"/>
        </w:rPr>
        <w:t xml:space="preserve"> and </w:t>
      </w:r>
      <w:r w:rsidR="00753AA9" w:rsidRPr="007D4DDF">
        <w:rPr>
          <w:rFonts w:ascii="Times New Roman" w:hAnsi="Times New Roman"/>
        </w:rPr>
        <w:t>‘</w:t>
      </w:r>
      <w:r w:rsidR="00B72C04" w:rsidRPr="007D4DDF">
        <w:rPr>
          <w:rFonts w:ascii="Times New Roman" w:hAnsi="Times New Roman"/>
        </w:rPr>
        <w:t>E</w:t>
      </w:r>
      <w:r w:rsidR="008D20C6" w:rsidRPr="007D4DDF">
        <w:rPr>
          <w:rFonts w:ascii="Times New Roman" w:hAnsi="Times New Roman"/>
        </w:rPr>
        <w:t>viction</w:t>
      </w:r>
      <w:bookmarkEnd w:id="1"/>
      <w:r w:rsidR="00753AA9" w:rsidRPr="007D4DDF">
        <w:rPr>
          <w:rFonts w:ascii="Times New Roman" w:hAnsi="Times New Roman"/>
        </w:rPr>
        <w:t>’</w:t>
      </w:r>
    </w:p>
    <w:p w14:paraId="4ADE994E" w14:textId="77777777" w:rsidR="001A4592" w:rsidRPr="007D4DDF" w:rsidRDefault="00290E59" w:rsidP="00395E14">
      <w:pPr>
        <w:spacing w:before="0" w:after="120" w:line="240" w:lineRule="auto"/>
        <w:rPr>
          <w:rStyle w:val="sb8d990e2"/>
          <w:color w:val="000000"/>
          <w:szCs w:val="24"/>
        </w:rPr>
      </w:pPr>
      <w:r w:rsidRPr="007D4DDF">
        <w:rPr>
          <w:color w:val="000000"/>
          <w:szCs w:val="24"/>
        </w:rPr>
        <w:t xml:space="preserve">The issue of eviction </w:t>
      </w:r>
      <w:r w:rsidR="00F74A5E" w:rsidRPr="007D4DDF">
        <w:rPr>
          <w:color w:val="000000"/>
          <w:szCs w:val="24"/>
        </w:rPr>
        <w:t xml:space="preserve">is closely related to </w:t>
      </w:r>
      <w:r w:rsidR="00011E2D" w:rsidRPr="007D4DDF">
        <w:rPr>
          <w:color w:val="000000"/>
          <w:szCs w:val="24"/>
        </w:rPr>
        <w:t>r</w:t>
      </w:r>
      <w:r w:rsidRPr="007D4DDF">
        <w:rPr>
          <w:color w:val="000000"/>
          <w:szCs w:val="24"/>
        </w:rPr>
        <w:t xml:space="preserve">espect for home. Today, the notion of home is viewed as much more than a physical setting. </w:t>
      </w:r>
      <w:r w:rsidR="00047EEA" w:rsidRPr="007D4DDF">
        <w:rPr>
          <w:color w:val="000000"/>
          <w:szCs w:val="24"/>
        </w:rPr>
        <w:t>In contemporary societies, home is associated with safety, belonging, esteem and self-</w:t>
      </w:r>
      <w:r w:rsidR="007D4DDF" w:rsidRPr="007D4DDF">
        <w:rPr>
          <w:color w:val="000000"/>
          <w:szCs w:val="24"/>
        </w:rPr>
        <w:t>actuali</w:t>
      </w:r>
      <w:r w:rsidR="007D4DDF">
        <w:rPr>
          <w:color w:val="000000"/>
          <w:szCs w:val="24"/>
        </w:rPr>
        <w:t>z</w:t>
      </w:r>
      <w:r w:rsidR="007D4DDF" w:rsidRPr="007D4DDF">
        <w:rPr>
          <w:color w:val="000000"/>
          <w:szCs w:val="24"/>
        </w:rPr>
        <w:t>ation</w:t>
      </w:r>
      <w:r w:rsidR="00047EEA" w:rsidRPr="007D4DDF">
        <w:rPr>
          <w:color w:val="000000"/>
          <w:szCs w:val="24"/>
        </w:rPr>
        <w:t>. Housing and home are intertwined with health, child development, poverty/wealth and opportunity in general.</w:t>
      </w:r>
      <w:r w:rsidR="00694CE2" w:rsidRPr="007D4DDF">
        <w:rPr>
          <w:rStyle w:val="FootnoteReference"/>
          <w:color w:val="000000"/>
          <w:szCs w:val="24"/>
        </w:rPr>
        <w:footnoteReference w:id="6"/>
      </w:r>
      <w:r w:rsidR="00047EEA" w:rsidRPr="007D4DDF">
        <w:rPr>
          <w:color w:val="000000"/>
          <w:szCs w:val="24"/>
        </w:rPr>
        <w:t xml:space="preserve"> </w:t>
      </w:r>
      <w:r w:rsidR="008F44CA" w:rsidRPr="007D4DDF">
        <w:rPr>
          <w:color w:val="000000"/>
          <w:szCs w:val="24"/>
        </w:rPr>
        <w:t>‘</w:t>
      </w:r>
      <w:r w:rsidR="00047EEA" w:rsidRPr="007D4DDF">
        <w:rPr>
          <w:color w:val="000000"/>
          <w:szCs w:val="24"/>
        </w:rPr>
        <w:t>Home</w:t>
      </w:r>
      <w:r w:rsidR="008F44CA" w:rsidRPr="007D4DDF">
        <w:rPr>
          <w:color w:val="000000"/>
          <w:szCs w:val="24"/>
        </w:rPr>
        <w:t>’</w:t>
      </w:r>
      <w:r w:rsidR="00047EEA" w:rsidRPr="007D4DDF">
        <w:rPr>
          <w:color w:val="000000"/>
          <w:szCs w:val="24"/>
        </w:rPr>
        <w:t xml:space="preserve"> can be seen as a physical structure; as a territory implying security, control and rootedness; as identity; as a social and cultural phenomenon; and as a base for relationships. </w:t>
      </w:r>
      <w:r w:rsidR="00951181" w:rsidRPr="007D4DDF">
        <w:rPr>
          <w:color w:val="000000"/>
          <w:szCs w:val="24"/>
        </w:rPr>
        <w:t xml:space="preserve">Home also acts as a geographical space from which a person or household can access other services and </w:t>
      </w:r>
      <w:proofErr w:type="gramStart"/>
      <w:r w:rsidR="00951181" w:rsidRPr="007D4DDF">
        <w:rPr>
          <w:color w:val="000000"/>
          <w:szCs w:val="24"/>
        </w:rPr>
        <w:t>amenities, and</w:t>
      </w:r>
      <w:proofErr w:type="gramEnd"/>
      <w:r w:rsidR="00951181" w:rsidRPr="007D4DDF">
        <w:rPr>
          <w:color w:val="000000"/>
          <w:szCs w:val="24"/>
        </w:rPr>
        <w:t xml:space="preserve"> is regarded as necessary for the enjoyment of all human rights.</w:t>
      </w:r>
      <w:r w:rsidR="00951181" w:rsidRPr="007D4DDF">
        <w:rPr>
          <w:rStyle w:val="FootnoteReference"/>
          <w:color w:val="000000"/>
          <w:szCs w:val="24"/>
          <w:lang w:eastAsia="lt-LT"/>
        </w:rPr>
        <w:footnoteReference w:id="7"/>
      </w:r>
      <w:r w:rsidR="00951181" w:rsidRPr="007D4DDF">
        <w:rPr>
          <w:color w:val="000000"/>
          <w:szCs w:val="24"/>
        </w:rPr>
        <w:t xml:space="preserve"> </w:t>
      </w:r>
      <w:r w:rsidR="00047EEA" w:rsidRPr="007D4DDF">
        <w:rPr>
          <w:color w:val="000000"/>
          <w:szCs w:val="24"/>
        </w:rPr>
        <w:t xml:space="preserve">International human rights law regards </w:t>
      </w:r>
      <w:r w:rsidR="007454B3" w:rsidRPr="007D4DDF">
        <w:rPr>
          <w:color w:val="000000"/>
          <w:szCs w:val="24"/>
        </w:rPr>
        <w:t>‘</w:t>
      </w:r>
      <w:r w:rsidR="00047EEA" w:rsidRPr="007D4DDF">
        <w:rPr>
          <w:color w:val="000000"/>
          <w:szCs w:val="24"/>
        </w:rPr>
        <w:t>home</w:t>
      </w:r>
      <w:r w:rsidR="007454B3" w:rsidRPr="007D4DDF">
        <w:rPr>
          <w:color w:val="000000"/>
          <w:szCs w:val="24"/>
        </w:rPr>
        <w:t>’</w:t>
      </w:r>
      <w:r w:rsidR="00047EEA" w:rsidRPr="007D4DDF">
        <w:rPr>
          <w:color w:val="000000"/>
          <w:szCs w:val="24"/>
        </w:rPr>
        <w:t xml:space="preserve"> as involving </w:t>
      </w:r>
      <w:r w:rsidR="007454B3" w:rsidRPr="007D4DDF">
        <w:rPr>
          <w:color w:val="000000"/>
          <w:szCs w:val="24"/>
        </w:rPr>
        <w:t>‘</w:t>
      </w:r>
      <w:r w:rsidR="00047EEA" w:rsidRPr="007D4DDF">
        <w:rPr>
          <w:rStyle w:val="sb8d990e2"/>
          <w:color w:val="000000"/>
          <w:szCs w:val="24"/>
        </w:rPr>
        <w:t>rights of central importance to the individual’s identity, self-determination, physical and moral integrity, maintenance of relationships with others, and a settled and secure place in the community</w:t>
      </w:r>
      <w:r w:rsidR="007454B3" w:rsidRPr="007D4DDF">
        <w:rPr>
          <w:rStyle w:val="sb8d990e2"/>
          <w:color w:val="000000"/>
          <w:szCs w:val="24"/>
        </w:rPr>
        <w:t>’</w:t>
      </w:r>
      <w:r w:rsidR="006D4005" w:rsidRPr="007D4DDF">
        <w:rPr>
          <w:rStyle w:val="sb8d990e2"/>
          <w:color w:val="000000"/>
          <w:szCs w:val="24"/>
        </w:rPr>
        <w:t>.</w:t>
      </w:r>
      <w:r w:rsidR="00047EEA" w:rsidRPr="007D4DDF">
        <w:rPr>
          <w:rStyle w:val="FootnoteReference"/>
          <w:color w:val="000000"/>
          <w:szCs w:val="24"/>
        </w:rPr>
        <w:footnoteReference w:id="8"/>
      </w:r>
    </w:p>
    <w:p w14:paraId="58AC2CF6" w14:textId="325DF853" w:rsidR="00405755" w:rsidRPr="007D4DDF" w:rsidRDefault="00405755" w:rsidP="00777703">
      <w:pPr>
        <w:pStyle w:val="ColourfulGridAccent11"/>
        <w:spacing w:after="120"/>
        <w:ind w:left="720"/>
        <w:jc w:val="left"/>
        <w:rPr>
          <w:rFonts w:ascii="Times New Roman" w:hAnsi="Times New Roman"/>
          <w:i w:val="0"/>
        </w:rPr>
      </w:pPr>
      <w:r w:rsidRPr="007D4DDF">
        <w:rPr>
          <w:rFonts w:ascii="Times New Roman" w:hAnsi="Times New Roman"/>
          <w:i w:val="0"/>
        </w:rPr>
        <w:t>Home</w:t>
      </w:r>
      <w:r w:rsidR="00FC6B10" w:rsidRPr="007D4DDF">
        <w:rPr>
          <w:rFonts w:ascii="Times New Roman" w:hAnsi="Times New Roman"/>
          <w:i w:val="0"/>
        </w:rPr>
        <w:t>’</w:t>
      </w:r>
      <w:r w:rsidRPr="007D4DDF">
        <w:rPr>
          <w:rFonts w:ascii="Times New Roman" w:hAnsi="Times New Roman"/>
          <w:i w:val="0"/>
        </w:rPr>
        <w:t xml:space="preserve"> is an autonomous concept which does not depend on classification under domestic law. Whether or not a </w:t>
      </w:r>
      <w:proofErr w:type="gramStart"/>
      <w:r w:rsidRPr="007D4DDF">
        <w:rPr>
          <w:rFonts w:ascii="Times New Roman" w:hAnsi="Times New Roman"/>
          <w:i w:val="0"/>
        </w:rPr>
        <w:t>particular premises</w:t>
      </w:r>
      <w:proofErr w:type="gramEnd"/>
      <w:r w:rsidRPr="007D4DDF">
        <w:rPr>
          <w:rFonts w:ascii="Times New Roman" w:hAnsi="Times New Roman"/>
          <w:i w:val="0"/>
        </w:rPr>
        <w:t xml:space="preserve"> constitutes a </w:t>
      </w:r>
      <w:r w:rsidR="00E7221C" w:rsidRPr="007D4DDF">
        <w:rPr>
          <w:rFonts w:ascii="Times New Roman" w:hAnsi="Times New Roman"/>
          <w:i w:val="0"/>
        </w:rPr>
        <w:t>‘</w:t>
      </w:r>
      <w:r w:rsidRPr="007D4DDF">
        <w:rPr>
          <w:rFonts w:ascii="Times New Roman" w:hAnsi="Times New Roman"/>
          <w:i w:val="0"/>
        </w:rPr>
        <w:t>home</w:t>
      </w:r>
      <w:r w:rsidR="00E7221C" w:rsidRPr="007D4DDF">
        <w:rPr>
          <w:rFonts w:ascii="Times New Roman" w:hAnsi="Times New Roman"/>
          <w:i w:val="0"/>
        </w:rPr>
        <w:t>’</w:t>
      </w:r>
      <w:r w:rsidRPr="007D4DDF">
        <w:rPr>
          <w:rFonts w:ascii="Times New Roman" w:hAnsi="Times New Roman"/>
          <w:i w:val="0"/>
        </w:rPr>
        <w:t xml:space="preserve"> which attracts the protection of Article 8 §1 will depend on the factual circumstances, namely, the existence of sufficient and continuous links with a specific place</w:t>
      </w:r>
      <w:r w:rsidR="00AA5987" w:rsidRPr="007D4DDF">
        <w:rPr>
          <w:rFonts w:ascii="Times New Roman" w:hAnsi="Times New Roman"/>
          <w:i w:val="0"/>
        </w:rPr>
        <w:t xml:space="preserve"> </w:t>
      </w:r>
      <w:r w:rsidR="00E7221C" w:rsidRPr="007D4DDF">
        <w:rPr>
          <w:rFonts w:ascii="Times New Roman" w:hAnsi="Times New Roman"/>
          <w:i w:val="0"/>
        </w:rPr>
        <w:t xml:space="preserve">… </w:t>
      </w:r>
      <w:r w:rsidRPr="007D4DDF">
        <w:rPr>
          <w:rFonts w:ascii="Times New Roman" w:hAnsi="Times New Roman"/>
          <w:i w:val="0"/>
        </w:rPr>
        <w:t xml:space="preserve">Thus, whether a property is to be classified as a </w:t>
      </w:r>
      <w:r w:rsidR="00E7221C" w:rsidRPr="007D4DDF">
        <w:rPr>
          <w:rFonts w:ascii="Times New Roman" w:hAnsi="Times New Roman"/>
          <w:i w:val="0"/>
        </w:rPr>
        <w:t>‘</w:t>
      </w:r>
      <w:r w:rsidRPr="007D4DDF">
        <w:rPr>
          <w:rFonts w:ascii="Times New Roman" w:hAnsi="Times New Roman"/>
          <w:i w:val="0"/>
        </w:rPr>
        <w:t>home</w:t>
      </w:r>
      <w:r w:rsidR="00E7221C" w:rsidRPr="007D4DDF">
        <w:rPr>
          <w:rFonts w:ascii="Times New Roman" w:hAnsi="Times New Roman"/>
          <w:i w:val="0"/>
        </w:rPr>
        <w:t>’</w:t>
      </w:r>
      <w:r w:rsidRPr="007D4DDF">
        <w:rPr>
          <w:rFonts w:ascii="Times New Roman" w:hAnsi="Times New Roman"/>
          <w:i w:val="0"/>
        </w:rPr>
        <w:t xml:space="preserve"> is a question of fact and does not depend on the lawfulness of the occupation under domestic law</w:t>
      </w:r>
      <w:r w:rsidR="00AA5987" w:rsidRPr="007D4DDF">
        <w:rPr>
          <w:rFonts w:ascii="Times New Roman" w:hAnsi="Times New Roman"/>
          <w:i w:val="0"/>
        </w:rPr>
        <w:t xml:space="preserve"> ….</w:t>
      </w:r>
      <w:r w:rsidRPr="007D4DDF">
        <w:rPr>
          <w:rStyle w:val="FootnoteReference"/>
          <w:rFonts w:ascii="Times New Roman" w:hAnsi="Times New Roman"/>
          <w:i w:val="0"/>
        </w:rPr>
        <w:footnoteReference w:id="9"/>
      </w:r>
    </w:p>
    <w:p w14:paraId="6045BB39" w14:textId="77777777" w:rsidR="001A4592" w:rsidRPr="007D4DDF" w:rsidRDefault="00951181" w:rsidP="00777703">
      <w:pPr>
        <w:spacing w:before="0" w:after="120" w:line="240" w:lineRule="auto"/>
        <w:rPr>
          <w:color w:val="000000"/>
          <w:szCs w:val="24"/>
        </w:rPr>
      </w:pPr>
      <w:r w:rsidRPr="007D4DDF">
        <w:rPr>
          <w:color w:val="000000"/>
          <w:szCs w:val="24"/>
        </w:rPr>
        <w:t xml:space="preserve">Lorna </w:t>
      </w:r>
      <w:r w:rsidR="00F174CB" w:rsidRPr="007D4DDF">
        <w:rPr>
          <w:color w:val="000000"/>
          <w:szCs w:val="24"/>
        </w:rPr>
        <w:t>Fox</w:t>
      </w:r>
      <w:r w:rsidRPr="007D4DDF">
        <w:rPr>
          <w:color w:val="000000"/>
          <w:szCs w:val="24"/>
        </w:rPr>
        <w:t>-</w:t>
      </w:r>
      <w:proofErr w:type="spellStart"/>
      <w:r w:rsidRPr="007D4DDF">
        <w:rPr>
          <w:color w:val="000000"/>
          <w:szCs w:val="24"/>
        </w:rPr>
        <w:t>O’Mahony</w:t>
      </w:r>
      <w:proofErr w:type="spellEnd"/>
      <w:r w:rsidR="00F174CB" w:rsidRPr="007D4DDF">
        <w:rPr>
          <w:color w:val="000000"/>
          <w:szCs w:val="24"/>
        </w:rPr>
        <w:t xml:space="preserve"> suggests that, </w:t>
      </w:r>
      <w:proofErr w:type="gramStart"/>
      <w:r w:rsidR="00F174CB" w:rsidRPr="007D4DDF">
        <w:rPr>
          <w:color w:val="000000"/>
          <w:szCs w:val="24"/>
        </w:rPr>
        <w:t>as yet,</w:t>
      </w:r>
      <w:proofErr w:type="gramEnd"/>
      <w:r w:rsidR="00F174CB" w:rsidRPr="007D4DDF">
        <w:rPr>
          <w:color w:val="000000"/>
          <w:szCs w:val="24"/>
        </w:rPr>
        <w:t xml:space="preserve"> there is no </w:t>
      </w:r>
      <w:r w:rsidR="00D107C3">
        <w:rPr>
          <w:color w:val="000000"/>
          <w:szCs w:val="24"/>
        </w:rPr>
        <w:t xml:space="preserve">established </w:t>
      </w:r>
      <w:r w:rsidR="00F174CB" w:rsidRPr="007D4DDF">
        <w:rPr>
          <w:color w:val="000000"/>
          <w:szCs w:val="24"/>
        </w:rPr>
        <w:t xml:space="preserve">coherent concept of home in law. Indeed, she points out that in many ways </w:t>
      </w:r>
      <w:r w:rsidR="005F01FF" w:rsidRPr="007D4DDF">
        <w:rPr>
          <w:color w:val="000000"/>
          <w:szCs w:val="24"/>
        </w:rPr>
        <w:t>‘</w:t>
      </w:r>
      <w:r w:rsidR="00F174CB" w:rsidRPr="007D4DDF">
        <w:rPr>
          <w:color w:val="000000"/>
          <w:szCs w:val="24"/>
        </w:rPr>
        <w:t>home-type</w:t>
      </w:r>
      <w:r w:rsidR="005F01FF" w:rsidRPr="007D4DDF">
        <w:rPr>
          <w:color w:val="000000"/>
          <w:szCs w:val="24"/>
        </w:rPr>
        <w:t>’</w:t>
      </w:r>
      <w:r w:rsidR="00F174CB" w:rsidRPr="007D4DDF">
        <w:rPr>
          <w:color w:val="000000"/>
          <w:szCs w:val="24"/>
        </w:rPr>
        <w:t xml:space="preserve"> interests are </w:t>
      </w:r>
      <w:r w:rsidR="00F174CB" w:rsidRPr="007D4DDF">
        <w:rPr>
          <w:color w:val="000000"/>
          <w:szCs w:val="24"/>
        </w:rPr>
        <w:lastRenderedPageBreak/>
        <w:t xml:space="preserve">anathema to legal reasoning, especially as </w:t>
      </w:r>
      <w:r w:rsidR="005F01FF" w:rsidRPr="007D4DDF">
        <w:rPr>
          <w:color w:val="000000"/>
          <w:szCs w:val="24"/>
        </w:rPr>
        <w:t>‘</w:t>
      </w:r>
      <w:r w:rsidR="00F174CB" w:rsidRPr="007D4DDF">
        <w:rPr>
          <w:color w:val="000000"/>
          <w:szCs w:val="24"/>
        </w:rPr>
        <w:t>home</w:t>
      </w:r>
      <w:r w:rsidR="005F01FF" w:rsidRPr="007D4DDF">
        <w:rPr>
          <w:color w:val="000000"/>
          <w:szCs w:val="24"/>
        </w:rPr>
        <w:t>’</w:t>
      </w:r>
      <w:r w:rsidR="00F174CB" w:rsidRPr="007D4DDF">
        <w:rPr>
          <w:color w:val="000000"/>
          <w:szCs w:val="24"/>
        </w:rPr>
        <w:t xml:space="preserve"> is seen as essentially a subjective phenomenon</w:t>
      </w:r>
      <w:r w:rsidR="000A2E11" w:rsidRPr="007D4DDF">
        <w:rPr>
          <w:color w:val="000000"/>
          <w:szCs w:val="24"/>
        </w:rPr>
        <w:t>:</w:t>
      </w:r>
    </w:p>
    <w:p w14:paraId="6E2C5C16" w14:textId="270FAAD8" w:rsidR="001A4592" w:rsidRPr="007D4DDF" w:rsidRDefault="00F174CB" w:rsidP="00777703">
      <w:pPr>
        <w:spacing w:before="0" w:after="120" w:line="240" w:lineRule="auto"/>
        <w:ind w:left="720"/>
        <w:rPr>
          <w:color w:val="000000"/>
          <w:szCs w:val="24"/>
        </w:rPr>
      </w:pPr>
      <w:r w:rsidRPr="007D4DDF">
        <w:rPr>
          <w:color w:val="000000"/>
          <w:sz w:val="22"/>
        </w:rPr>
        <w:t xml:space="preserve">It does not appear to be easily quantifiable, and the value of home to its occupiers is not readily susceptible to legal proof. Nevertheless, there are compelling arguments to support further analysis of the idea of home in law. For one thing, while it may be true to say that the nature of home attachments presents obvious impediments to the development of a coherent legal concept of home, and that this explains, to a certain extent, the relative neglect of home-oriented analysis in law, the centrality of </w:t>
      </w:r>
      <w:r w:rsidR="005F01FF" w:rsidRPr="007D4DDF">
        <w:rPr>
          <w:color w:val="000000"/>
          <w:sz w:val="22"/>
        </w:rPr>
        <w:t>‘</w:t>
      </w:r>
      <w:r w:rsidRPr="007D4DDF">
        <w:rPr>
          <w:color w:val="000000"/>
          <w:sz w:val="22"/>
        </w:rPr>
        <w:t>home</w:t>
      </w:r>
      <w:r w:rsidR="005F01FF" w:rsidRPr="007D4DDF">
        <w:rPr>
          <w:color w:val="000000"/>
          <w:sz w:val="22"/>
        </w:rPr>
        <w:t>’</w:t>
      </w:r>
      <w:r w:rsidRPr="007D4DDF">
        <w:rPr>
          <w:color w:val="000000"/>
          <w:sz w:val="22"/>
        </w:rPr>
        <w:t xml:space="preserve"> to human dealings and the deep significance of rights and obligations relating to home render the lack of rigorous analysis in this area difficult to defend</w:t>
      </w:r>
      <w:r w:rsidR="0014093A" w:rsidRPr="007D4DDF">
        <w:rPr>
          <w:color w:val="000000"/>
          <w:sz w:val="22"/>
        </w:rPr>
        <w:t>.</w:t>
      </w:r>
      <w:r w:rsidRPr="007D4DDF">
        <w:rPr>
          <w:rStyle w:val="FootnoteReference"/>
          <w:color w:val="000000"/>
          <w:sz w:val="22"/>
        </w:rPr>
        <w:footnoteReference w:id="10"/>
      </w:r>
    </w:p>
    <w:p w14:paraId="36D5A4CA" w14:textId="77777777" w:rsidR="00A30391" w:rsidRPr="007D4DDF" w:rsidRDefault="00F74A5E" w:rsidP="00777703">
      <w:pPr>
        <w:spacing w:before="0" w:after="120" w:line="240" w:lineRule="auto"/>
        <w:rPr>
          <w:szCs w:val="24"/>
        </w:rPr>
      </w:pPr>
      <w:r w:rsidRPr="007D4DDF">
        <w:rPr>
          <w:color w:val="000000"/>
          <w:szCs w:val="24"/>
        </w:rPr>
        <w:t xml:space="preserve">There are many personal and social consequences linked to an eviction. </w:t>
      </w:r>
      <w:r w:rsidR="00E97020" w:rsidRPr="007D4DDF">
        <w:rPr>
          <w:color w:val="000000"/>
          <w:szCs w:val="24"/>
        </w:rPr>
        <w:t xml:space="preserve">It is </w:t>
      </w:r>
      <w:r w:rsidR="001D4C65" w:rsidRPr="007D4DDF">
        <w:rPr>
          <w:color w:val="000000"/>
          <w:szCs w:val="24"/>
        </w:rPr>
        <w:t xml:space="preserve">generally </w:t>
      </w:r>
      <w:r w:rsidR="00E97020" w:rsidRPr="007D4DDF">
        <w:rPr>
          <w:color w:val="000000"/>
          <w:szCs w:val="24"/>
        </w:rPr>
        <w:t>accepted that f</w:t>
      </w:r>
      <w:r w:rsidR="00E97020" w:rsidRPr="007D4DDF">
        <w:rPr>
          <w:rFonts w:eastAsia="MS Mincho"/>
          <w:szCs w:val="24"/>
          <w:lang w:eastAsia="ja-JP"/>
        </w:rPr>
        <w:t xml:space="preserve">orced evictions </w:t>
      </w:r>
      <w:r w:rsidR="00694CE2" w:rsidRPr="007D4DDF">
        <w:rPr>
          <w:rFonts w:eastAsia="MS Mincho"/>
          <w:szCs w:val="24"/>
          <w:lang w:eastAsia="ja-JP"/>
        </w:rPr>
        <w:t xml:space="preserve">from homes </w:t>
      </w:r>
      <w:r w:rsidR="00951181" w:rsidRPr="007D4DDF">
        <w:rPr>
          <w:rFonts w:eastAsia="MS Mincho"/>
          <w:szCs w:val="24"/>
          <w:lang w:eastAsia="ja-JP"/>
        </w:rPr>
        <w:t xml:space="preserve">can </w:t>
      </w:r>
      <w:r w:rsidR="00E97020" w:rsidRPr="007D4DDF">
        <w:rPr>
          <w:rFonts w:eastAsia="MS Mincho"/>
          <w:szCs w:val="24"/>
          <w:lang w:eastAsia="ja-JP"/>
        </w:rPr>
        <w:t xml:space="preserve">result in severe trauma and </w:t>
      </w:r>
      <w:r w:rsidR="00B115B3" w:rsidRPr="007D4DDF">
        <w:rPr>
          <w:rFonts w:eastAsia="MS Mincho"/>
          <w:szCs w:val="24"/>
          <w:lang w:eastAsia="ja-JP"/>
        </w:rPr>
        <w:t xml:space="preserve">can </w:t>
      </w:r>
      <w:r w:rsidR="00E97020" w:rsidRPr="007D4DDF">
        <w:rPr>
          <w:rFonts w:eastAsia="MS Mincho"/>
          <w:szCs w:val="24"/>
          <w:lang w:eastAsia="ja-JP"/>
        </w:rPr>
        <w:t>set back the lives of those already marginali</w:t>
      </w:r>
      <w:r w:rsidR="009134ED">
        <w:rPr>
          <w:rFonts w:eastAsia="MS Mincho"/>
          <w:szCs w:val="24"/>
          <w:lang w:eastAsia="ja-JP"/>
        </w:rPr>
        <w:t>z</w:t>
      </w:r>
      <w:r w:rsidR="00E97020" w:rsidRPr="007D4DDF">
        <w:rPr>
          <w:rFonts w:eastAsia="MS Mincho"/>
          <w:szCs w:val="24"/>
          <w:lang w:eastAsia="ja-JP"/>
        </w:rPr>
        <w:t>ed or vulnerable in society.</w:t>
      </w:r>
      <w:r w:rsidR="00E97020" w:rsidRPr="007D4DDF">
        <w:rPr>
          <w:rStyle w:val="FootnoteReference"/>
          <w:color w:val="000000"/>
          <w:szCs w:val="24"/>
        </w:rPr>
        <w:footnoteReference w:id="11"/>
      </w:r>
      <w:r w:rsidR="00A175F0" w:rsidRPr="007D4DDF">
        <w:rPr>
          <w:rFonts w:eastAsia="MS Mincho"/>
          <w:szCs w:val="24"/>
          <w:lang w:eastAsia="ja-JP"/>
        </w:rPr>
        <w:t xml:space="preserve"> </w:t>
      </w:r>
      <w:r w:rsidR="00047EEA" w:rsidRPr="007D4DDF">
        <w:rPr>
          <w:color w:val="000000"/>
          <w:szCs w:val="24"/>
        </w:rPr>
        <w:t>Research shows that, although the experience varies, victims of home loss frequently experience feelings of painful loss</w:t>
      </w:r>
      <w:r w:rsidR="00B115B3" w:rsidRPr="007D4DDF">
        <w:rPr>
          <w:color w:val="000000"/>
          <w:szCs w:val="24"/>
        </w:rPr>
        <w:t>;</w:t>
      </w:r>
      <w:r w:rsidR="00047EEA" w:rsidRPr="007D4DDF">
        <w:rPr>
          <w:color w:val="000000"/>
          <w:szCs w:val="24"/>
        </w:rPr>
        <w:t xml:space="preserve"> continued longing</w:t>
      </w:r>
      <w:r w:rsidR="00B115B3" w:rsidRPr="007D4DDF">
        <w:rPr>
          <w:color w:val="000000"/>
          <w:szCs w:val="24"/>
        </w:rPr>
        <w:t>;</w:t>
      </w:r>
      <w:r w:rsidR="00047EEA" w:rsidRPr="007D4DDF">
        <w:rPr>
          <w:color w:val="000000"/>
          <w:szCs w:val="24"/>
        </w:rPr>
        <w:t xml:space="preserve"> a general depressive mood</w:t>
      </w:r>
      <w:r w:rsidR="00B115B3" w:rsidRPr="007D4DDF">
        <w:rPr>
          <w:color w:val="000000"/>
          <w:szCs w:val="24"/>
        </w:rPr>
        <w:t>;</w:t>
      </w:r>
      <w:r w:rsidR="00047EEA" w:rsidRPr="007D4DDF">
        <w:rPr>
          <w:color w:val="000000"/>
          <w:szCs w:val="24"/>
        </w:rPr>
        <w:t xml:space="preserve"> frequent symptoms of psychological, social or somatic distress</w:t>
      </w:r>
      <w:r w:rsidR="00B115B3" w:rsidRPr="007D4DDF">
        <w:rPr>
          <w:color w:val="000000"/>
          <w:szCs w:val="24"/>
        </w:rPr>
        <w:t>;</w:t>
      </w:r>
      <w:r w:rsidR="00047EEA" w:rsidRPr="007D4DDF">
        <w:rPr>
          <w:color w:val="000000"/>
          <w:szCs w:val="24"/>
        </w:rPr>
        <w:t xml:space="preserve"> a sense of helplessness</w:t>
      </w:r>
      <w:r w:rsidR="00BB03F5" w:rsidRPr="007D4DDF">
        <w:rPr>
          <w:color w:val="000000"/>
          <w:szCs w:val="24"/>
        </w:rPr>
        <w:t>;</w:t>
      </w:r>
      <w:r w:rsidR="00047EEA" w:rsidRPr="007D4DDF">
        <w:rPr>
          <w:color w:val="000000"/>
          <w:szCs w:val="24"/>
        </w:rPr>
        <w:t xml:space="preserve"> and occasional expressions of both direct and displaced anger.</w:t>
      </w:r>
      <w:r w:rsidR="00047EEA" w:rsidRPr="007D4DDF">
        <w:rPr>
          <w:rStyle w:val="FootnoteReference"/>
          <w:color w:val="000000"/>
          <w:szCs w:val="24"/>
        </w:rPr>
        <w:footnoteReference w:id="12"/>
      </w:r>
      <w:r w:rsidR="00047EEA" w:rsidRPr="007D4DDF">
        <w:rPr>
          <w:color w:val="000000"/>
          <w:szCs w:val="24"/>
        </w:rPr>
        <w:t xml:space="preserve"> Some households may be exposed to a great psycho</w:t>
      </w:r>
      <w:r w:rsidR="006771D4" w:rsidRPr="007D4DDF">
        <w:rPr>
          <w:color w:val="000000"/>
          <w:szCs w:val="24"/>
        </w:rPr>
        <w:t>social</w:t>
      </w:r>
      <w:r w:rsidR="00047EEA" w:rsidRPr="007D4DDF">
        <w:rPr>
          <w:color w:val="000000"/>
          <w:szCs w:val="24"/>
        </w:rPr>
        <w:t xml:space="preserve"> burden, especially when children and/or adult dependents are involved. There are particularly negative consequences for children in the loss of home and the experience of homelessness.</w:t>
      </w:r>
      <w:r w:rsidR="00047EEA" w:rsidRPr="007D4DDF">
        <w:rPr>
          <w:rStyle w:val="FootnoteReference"/>
          <w:color w:val="000000"/>
          <w:szCs w:val="24"/>
        </w:rPr>
        <w:footnoteReference w:id="13"/>
      </w:r>
      <w:r w:rsidR="00DF7E1F" w:rsidRPr="007D4DDF">
        <w:rPr>
          <w:szCs w:val="24"/>
        </w:rPr>
        <w:t xml:space="preserve"> </w:t>
      </w:r>
      <w:r w:rsidR="001D4C65" w:rsidRPr="007D4DDF">
        <w:rPr>
          <w:szCs w:val="24"/>
        </w:rPr>
        <w:t>R</w:t>
      </w:r>
      <w:r w:rsidR="00DF7E1F" w:rsidRPr="007D4DDF">
        <w:rPr>
          <w:szCs w:val="24"/>
        </w:rPr>
        <w:t xml:space="preserve">esearch shows that at least two years after their eviction, mothers still experienced significantly higher rates of material hardship and depression than </w:t>
      </w:r>
      <w:r w:rsidR="008A70FA" w:rsidRPr="007D4DDF">
        <w:rPr>
          <w:szCs w:val="24"/>
        </w:rPr>
        <w:t xml:space="preserve">their </w:t>
      </w:r>
      <w:r w:rsidR="00DF7E1F" w:rsidRPr="007D4DDF">
        <w:rPr>
          <w:szCs w:val="24"/>
        </w:rPr>
        <w:t>peers.</w:t>
      </w:r>
      <w:r w:rsidR="00DF7E1F" w:rsidRPr="007D4DDF">
        <w:rPr>
          <w:rStyle w:val="FootnoteReference"/>
          <w:szCs w:val="24"/>
        </w:rPr>
        <w:footnoteReference w:id="14"/>
      </w:r>
      <w:r w:rsidR="001D4C65" w:rsidRPr="007D4DDF">
        <w:rPr>
          <w:szCs w:val="24"/>
        </w:rPr>
        <w:t xml:space="preserve"> Y</w:t>
      </w:r>
      <w:r w:rsidR="002D65B5" w:rsidRPr="007D4DDF">
        <w:rPr>
          <w:szCs w:val="24"/>
        </w:rPr>
        <w:t xml:space="preserve">et, </w:t>
      </w:r>
      <w:r w:rsidRPr="007D4DDF">
        <w:rPr>
          <w:szCs w:val="24"/>
        </w:rPr>
        <w:t xml:space="preserve">generally, </w:t>
      </w:r>
      <w:r w:rsidR="002D65B5" w:rsidRPr="007D4DDF">
        <w:rPr>
          <w:szCs w:val="24"/>
        </w:rPr>
        <w:t xml:space="preserve">there is a paucity of research into the effects of eviction, especially </w:t>
      </w:r>
      <w:r w:rsidR="001D4C65" w:rsidRPr="007D4DDF">
        <w:rPr>
          <w:szCs w:val="24"/>
        </w:rPr>
        <w:t xml:space="preserve">its </w:t>
      </w:r>
      <w:r w:rsidR="002D65B5" w:rsidRPr="007D4DDF">
        <w:rPr>
          <w:szCs w:val="24"/>
        </w:rPr>
        <w:t xml:space="preserve">links </w:t>
      </w:r>
      <w:r w:rsidR="008A70FA" w:rsidRPr="007D4DDF">
        <w:rPr>
          <w:szCs w:val="24"/>
        </w:rPr>
        <w:t xml:space="preserve">to </w:t>
      </w:r>
      <w:r w:rsidR="002D65B5" w:rsidRPr="007D4DDF">
        <w:rPr>
          <w:szCs w:val="24"/>
        </w:rPr>
        <w:t>suicide.</w:t>
      </w:r>
      <w:r w:rsidR="00DF7E1F" w:rsidRPr="007D4DDF">
        <w:rPr>
          <w:rStyle w:val="FootnoteReference"/>
          <w:color w:val="000000"/>
          <w:szCs w:val="24"/>
        </w:rPr>
        <w:footnoteReference w:id="15"/>
      </w:r>
      <w:r w:rsidR="002D65B5" w:rsidRPr="007D4DDF">
        <w:rPr>
          <w:szCs w:val="24"/>
        </w:rPr>
        <w:t xml:space="preserve"> One study of 22</w:t>
      </w:r>
      <w:r w:rsidR="00FC6B10" w:rsidRPr="007D4DDF">
        <w:rPr>
          <w:szCs w:val="24"/>
        </w:rPr>
        <w:t xml:space="preserve"> </w:t>
      </w:r>
      <w:r w:rsidR="002D65B5" w:rsidRPr="007D4DDF">
        <w:rPr>
          <w:szCs w:val="24"/>
        </w:rPr>
        <w:t xml:space="preserve">000 Swedish households showed that those who had lost </w:t>
      </w:r>
      <w:r w:rsidR="008A70FA" w:rsidRPr="007D4DDF">
        <w:rPr>
          <w:szCs w:val="24"/>
        </w:rPr>
        <w:t>their</w:t>
      </w:r>
      <w:r w:rsidR="002D65B5" w:rsidRPr="007D4DDF">
        <w:rPr>
          <w:szCs w:val="24"/>
        </w:rPr>
        <w:t xml:space="preserve"> legal right</w:t>
      </w:r>
      <w:r w:rsidR="00D91153" w:rsidRPr="007D4DDF">
        <w:rPr>
          <w:szCs w:val="24"/>
        </w:rPr>
        <w:t xml:space="preserve"> to their home</w:t>
      </w:r>
      <w:r w:rsidRPr="007D4DDF">
        <w:rPr>
          <w:szCs w:val="24"/>
        </w:rPr>
        <w:t>,</w:t>
      </w:r>
      <w:r w:rsidR="002D65B5" w:rsidRPr="007D4DDF">
        <w:rPr>
          <w:szCs w:val="24"/>
        </w:rPr>
        <w:t xml:space="preserve"> </w:t>
      </w:r>
      <w:r w:rsidR="00BB03F5" w:rsidRPr="007D4DDF">
        <w:rPr>
          <w:szCs w:val="24"/>
        </w:rPr>
        <w:t>where</w:t>
      </w:r>
      <w:r w:rsidR="002D65B5" w:rsidRPr="007D4DDF">
        <w:rPr>
          <w:szCs w:val="24"/>
        </w:rPr>
        <w:t xml:space="preserve"> a landlord had applied for the eviction to be executed</w:t>
      </w:r>
      <w:r w:rsidRPr="007D4DDF">
        <w:rPr>
          <w:szCs w:val="24"/>
        </w:rPr>
        <w:t>,</w:t>
      </w:r>
      <w:r w:rsidR="002D65B5" w:rsidRPr="007D4DDF">
        <w:rPr>
          <w:szCs w:val="24"/>
        </w:rPr>
        <w:t xml:space="preserve"> were approximately four times</w:t>
      </w:r>
      <w:r w:rsidR="00DF7E1F" w:rsidRPr="007D4DDF">
        <w:rPr>
          <w:szCs w:val="24"/>
        </w:rPr>
        <w:t xml:space="preserve"> more </w:t>
      </w:r>
      <w:r w:rsidR="00D91153" w:rsidRPr="007D4DDF">
        <w:rPr>
          <w:szCs w:val="24"/>
        </w:rPr>
        <w:t>likely</w:t>
      </w:r>
      <w:r w:rsidR="00DF7E1F" w:rsidRPr="007D4DDF">
        <w:rPr>
          <w:szCs w:val="24"/>
        </w:rPr>
        <w:t xml:space="preserve"> to commit suicide </w:t>
      </w:r>
      <w:r w:rsidR="002D65B5" w:rsidRPr="007D4DDF">
        <w:rPr>
          <w:szCs w:val="24"/>
        </w:rPr>
        <w:t>than those who had not been exposed to this experience.</w:t>
      </w:r>
      <w:r w:rsidR="002D65B5" w:rsidRPr="007D4DDF">
        <w:rPr>
          <w:rStyle w:val="FootnoteReference"/>
          <w:szCs w:val="24"/>
        </w:rPr>
        <w:footnoteReference w:id="16"/>
      </w:r>
    </w:p>
    <w:p w14:paraId="3D1FA955" w14:textId="77777777" w:rsidR="001A4592" w:rsidRPr="007D4DDF" w:rsidRDefault="00210745" w:rsidP="00777703">
      <w:pPr>
        <w:spacing w:before="0" w:after="120" w:line="240" w:lineRule="auto"/>
        <w:rPr>
          <w:szCs w:val="24"/>
        </w:rPr>
      </w:pPr>
      <w:r w:rsidRPr="007D4DDF">
        <w:rPr>
          <w:szCs w:val="24"/>
        </w:rPr>
        <w:t xml:space="preserve">Matthew Desmond, </w:t>
      </w:r>
      <w:r w:rsidR="00146CB8" w:rsidRPr="007D4DDF">
        <w:rPr>
          <w:szCs w:val="24"/>
        </w:rPr>
        <w:t>author of the</w:t>
      </w:r>
      <w:r w:rsidRPr="007D4DDF">
        <w:rPr>
          <w:szCs w:val="24"/>
        </w:rPr>
        <w:t xml:space="preserve"> iconic study o</w:t>
      </w:r>
      <w:r w:rsidR="00DC54A3" w:rsidRPr="007D4DDF">
        <w:rPr>
          <w:szCs w:val="24"/>
        </w:rPr>
        <w:t>n</w:t>
      </w:r>
      <w:r w:rsidRPr="007D4DDF">
        <w:rPr>
          <w:szCs w:val="24"/>
        </w:rPr>
        <w:t xml:space="preserve"> evictions in Milwaukee, suggest</w:t>
      </w:r>
      <w:r w:rsidR="00D91153" w:rsidRPr="007D4DDF">
        <w:rPr>
          <w:szCs w:val="24"/>
        </w:rPr>
        <w:t>s</w:t>
      </w:r>
      <w:r w:rsidRPr="007D4DDF">
        <w:rPr>
          <w:szCs w:val="24"/>
        </w:rPr>
        <w:t xml:space="preserve"> that</w:t>
      </w:r>
      <w:r w:rsidR="00A175F0" w:rsidRPr="007D4DDF">
        <w:rPr>
          <w:szCs w:val="24"/>
        </w:rPr>
        <w:t>:</w:t>
      </w:r>
    </w:p>
    <w:p w14:paraId="02AFF474" w14:textId="4CD01B1E" w:rsidR="001A4592" w:rsidRPr="007D4DDF" w:rsidRDefault="00210745" w:rsidP="00777703">
      <w:pPr>
        <w:spacing w:before="0" w:after="120" w:line="240" w:lineRule="auto"/>
        <w:ind w:left="720"/>
        <w:rPr>
          <w:szCs w:val="24"/>
        </w:rPr>
      </w:pPr>
      <w:r w:rsidRPr="007D4DDF">
        <w:rPr>
          <w:sz w:val="22"/>
        </w:rPr>
        <w:t xml:space="preserve">Eviction’s fallout is severe. Losing a home sends families to shelters, abandoned houses, and the street. It invites depression and illness, compels families to move into </w:t>
      </w:r>
      <w:r w:rsidRPr="007D4DDF">
        <w:rPr>
          <w:sz w:val="22"/>
        </w:rPr>
        <w:lastRenderedPageBreak/>
        <w:t>degrading housing in dangerous neighbourhoods, uproots communities, and harms children. Eviction reveals people’s vulnerability and desperation, as well as their ingenuity and guts</w:t>
      </w:r>
      <w:r w:rsidR="004541D8" w:rsidRPr="007D4DDF">
        <w:rPr>
          <w:sz w:val="22"/>
        </w:rPr>
        <w:t>.</w:t>
      </w:r>
      <w:r w:rsidRPr="007D4DDF">
        <w:rPr>
          <w:rStyle w:val="FootnoteReference"/>
          <w:szCs w:val="24"/>
        </w:rPr>
        <w:footnoteReference w:id="17"/>
      </w:r>
    </w:p>
    <w:p w14:paraId="3341C010" w14:textId="77777777" w:rsidR="001A4592" w:rsidRPr="007D4DDF" w:rsidRDefault="00DF7E1F" w:rsidP="00777703">
      <w:pPr>
        <w:spacing w:before="0" w:after="120" w:line="240" w:lineRule="auto"/>
        <w:rPr>
          <w:rStyle w:val="Strong"/>
          <w:b w:val="0"/>
          <w:szCs w:val="24"/>
        </w:rPr>
      </w:pPr>
      <w:r w:rsidRPr="007D4DDF">
        <w:rPr>
          <w:rStyle w:val="Strong"/>
          <w:b w:val="0"/>
          <w:szCs w:val="24"/>
        </w:rPr>
        <w:t xml:space="preserve">Foundation Abbé Pierre and </w:t>
      </w:r>
      <w:r w:rsidR="00FA63E3" w:rsidRPr="007D4DDF">
        <w:rPr>
          <w:rStyle w:val="Strong"/>
          <w:b w:val="0"/>
          <w:szCs w:val="24"/>
        </w:rPr>
        <w:t>the European Federation of National Organisations Working with the Homeless (</w:t>
      </w:r>
      <w:r w:rsidRPr="007D4DDF">
        <w:rPr>
          <w:rStyle w:val="Strong"/>
          <w:b w:val="0"/>
          <w:szCs w:val="24"/>
        </w:rPr>
        <w:t>FEANTSA</w:t>
      </w:r>
      <w:r w:rsidR="00FA63E3" w:rsidRPr="007D4DDF">
        <w:rPr>
          <w:rStyle w:val="Strong"/>
          <w:b w:val="0"/>
          <w:szCs w:val="24"/>
        </w:rPr>
        <w:t>)</w:t>
      </w:r>
      <w:r w:rsidRPr="007D4DDF">
        <w:rPr>
          <w:rStyle w:val="Strong"/>
          <w:b w:val="0"/>
          <w:szCs w:val="24"/>
        </w:rPr>
        <w:t xml:space="preserve"> have described eviction </w:t>
      </w:r>
      <w:r w:rsidR="001D4C65" w:rsidRPr="007D4DDF">
        <w:rPr>
          <w:rStyle w:val="Strong"/>
          <w:b w:val="0"/>
          <w:szCs w:val="24"/>
        </w:rPr>
        <w:t xml:space="preserve">in Europe </w:t>
      </w:r>
      <w:r w:rsidRPr="007D4DDF">
        <w:rPr>
          <w:rStyle w:val="Strong"/>
          <w:b w:val="0"/>
          <w:szCs w:val="24"/>
        </w:rPr>
        <w:t>as:</w:t>
      </w:r>
    </w:p>
    <w:p w14:paraId="7C71E8F2" w14:textId="428F7451" w:rsidR="001A4592" w:rsidRPr="007D4DDF" w:rsidRDefault="002B3867" w:rsidP="00777703">
      <w:pPr>
        <w:spacing w:before="0" w:after="120" w:line="240" w:lineRule="auto"/>
        <w:ind w:left="720"/>
        <w:rPr>
          <w:szCs w:val="24"/>
          <w:lang w:eastAsia="en-US"/>
        </w:rPr>
      </w:pPr>
      <w:r>
        <w:rPr>
          <w:szCs w:val="24"/>
        </w:rPr>
        <w:t>…</w:t>
      </w:r>
      <w:r w:rsidR="001307FA" w:rsidRPr="007D4DDF">
        <w:rPr>
          <w:sz w:val="22"/>
          <w:lang w:eastAsia="en-US"/>
        </w:rPr>
        <w:t xml:space="preserve">one of the worst forms of violence that can afflict someone. It is not one of life’s ups and downs; it is a mark of infamy inflicted by society through institutions such as the police force and the legal system. Eviction is not only a punishment, </w:t>
      </w:r>
      <w:proofErr w:type="gramStart"/>
      <w:r w:rsidR="001307FA" w:rsidRPr="007D4DDF">
        <w:rPr>
          <w:sz w:val="22"/>
          <w:lang w:eastAsia="en-US"/>
        </w:rPr>
        <w:t>it is</w:t>
      </w:r>
      <w:proofErr w:type="gramEnd"/>
      <w:r w:rsidR="001307FA" w:rsidRPr="007D4DDF">
        <w:rPr>
          <w:sz w:val="22"/>
          <w:lang w:eastAsia="en-US"/>
        </w:rPr>
        <w:t xml:space="preserve"> a collective abandonment of other people; prioritising one individual’s right to own property over another individual’s most basic needs. Whether a property owner cannot meet mortgage repayments because of soaring interest rates, or a tenant cannot manage to pay rent while awaiting work-injury benefits, or a family deprived of the right to work is forced to seek shelter in a run-down barn; all are at risk of being forced from their homes, not just in a physical sense, but also psychologically in that the outside world invades the private sphere. Eviction is a humiliating and traumatising experience, which risks pushing the victim down a slippery slope towards destitution and poor self-esteem. It constitutes a violent rupture of one’s home life that directly feeds into the problem of homelessness.</w:t>
      </w:r>
      <w:r w:rsidR="001307FA" w:rsidRPr="007D4DDF">
        <w:rPr>
          <w:rStyle w:val="FootnoteReference"/>
          <w:szCs w:val="24"/>
          <w:lang w:eastAsia="en-US"/>
        </w:rPr>
        <w:footnoteReference w:id="18"/>
      </w:r>
    </w:p>
    <w:p w14:paraId="39029987" w14:textId="77777777" w:rsidR="00320E15" w:rsidRPr="007D4DDF" w:rsidRDefault="00320E15" w:rsidP="00777703">
      <w:pPr>
        <w:spacing w:before="0" w:after="120" w:line="240" w:lineRule="auto"/>
        <w:ind w:left="720"/>
        <w:rPr>
          <w:szCs w:val="24"/>
          <w:lang w:eastAsia="en-US"/>
        </w:rPr>
      </w:pPr>
    </w:p>
    <w:p w14:paraId="33C8B592" w14:textId="7B3E1CBB" w:rsidR="001A4592" w:rsidRPr="007D4DDF" w:rsidRDefault="008B1CB3" w:rsidP="008B1CB3">
      <w:pPr>
        <w:pStyle w:val="Heading2"/>
        <w:numPr>
          <w:ilvl w:val="1"/>
          <w:numId w:val="25"/>
        </w:numPr>
        <w:spacing w:before="0" w:after="120" w:line="240" w:lineRule="auto"/>
        <w:rPr>
          <w:rFonts w:ascii="Times New Roman" w:hAnsi="Times New Roman"/>
        </w:rPr>
      </w:pPr>
      <w:bookmarkStart w:id="2" w:name="_Toc508191190"/>
      <w:r>
        <w:rPr>
          <w:rFonts w:ascii="Times New Roman" w:hAnsi="Times New Roman"/>
        </w:rPr>
        <w:t xml:space="preserve"> </w:t>
      </w:r>
      <w:r w:rsidR="001C47BA" w:rsidRPr="007D4DDF">
        <w:rPr>
          <w:rFonts w:ascii="Times New Roman" w:hAnsi="Times New Roman"/>
        </w:rPr>
        <w:t xml:space="preserve">Defining an </w:t>
      </w:r>
      <w:r w:rsidR="00B72C04" w:rsidRPr="007D4DDF">
        <w:rPr>
          <w:rFonts w:ascii="Times New Roman" w:hAnsi="Times New Roman"/>
        </w:rPr>
        <w:t>E</w:t>
      </w:r>
      <w:r w:rsidR="008D20C6" w:rsidRPr="007D4DDF">
        <w:rPr>
          <w:rFonts w:ascii="Times New Roman" w:hAnsi="Times New Roman"/>
        </w:rPr>
        <w:t>viction</w:t>
      </w:r>
      <w:bookmarkEnd w:id="2"/>
    </w:p>
    <w:p w14:paraId="35EA8099" w14:textId="77777777" w:rsidR="00F74A5E" w:rsidRPr="007D4DDF" w:rsidRDefault="001C47BA" w:rsidP="00395E14">
      <w:pPr>
        <w:spacing w:before="0" w:after="120" w:line="240" w:lineRule="auto"/>
        <w:rPr>
          <w:color w:val="000000"/>
          <w:szCs w:val="24"/>
        </w:rPr>
      </w:pPr>
      <w:r w:rsidRPr="007D4DDF">
        <w:rPr>
          <w:rFonts w:eastAsia="MS Mincho"/>
          <w:szCs w:val="24"/>
          <w:lang w:eastAsia="ja-JP"/>
        </w:rPr>
        <w:t xml:space="preserve">The actual physical removal of occupants from a physical space is </w:t>
      </w:r>
      <w:r w:rsidR="001D4C65" w:rsidRPr="007D4DDF">
        <w:rPr>
          <w:rFonts w:eastAsia="MS Mincho"/>
          <w:szCs w:val="24"/>
          <w:lang w:eastAsia="ja-JP"/>
        </w:rPr>
        <w:t xml:space="preserve">colloquially and generally </w:t>
      </w:r>
      <w:r w:rsidRPr="007D4DDF">
        <w:rPr>
          <w:rFonts w:eastAsia="MS Mincho"/>
          <w:szCs w:val="24"/>
          <w:lang w:eastAsia="ja-JP"/>
        </w:rPr>
        <w:t>regarded as the moment of eviction. However, that moment may represent the culmination of a lengthy and complex social and legal process involving a number of stages prior to</w:t>
      </w:r>
      <w:r w:rsidR="00F74A5E" w:rsidRPr="007D4DDF">
        <w:rPr>
          <w:rFonts w:eastAsia="MS Mincho"/>
          <w:szCs w:val="24"/>
          <w:lang w:eastAsia="ja-JP"/>
        </w:rPr>
        <w:t>,</w:t>
      </w:r>
      <w:r w:rsidRPr="007D4DDF">
        <w:rPr>
          <w:rFonts w:eastAsia="MS Mincho"/>
          <w:szCs w:val="24"/>
          <w:lang w:eastAsia="ja-JP"/>
        </w:rPr>
        <w:t xml:space="preserve"> and leading to</w:t>
      </w:r>
      <w:r w:rsidR="00F74A5E" w:rsidRPr="007D4DDF">
        <w:rPr>
          <w:rFonts w:eastAsia="MS Mincho"/>
          <w:szCs w:val="24"/>
          <w:lang w:eastAsia="ja-JP"/>
        </w:rPr>
        <w:t>,</w:t>
      </w:r>
      <w:r w:rsidRPr="007D4DDF">
        <w:rPr>
          <w:rFonts w:eastAsia="MS Mincho"/>
          <w:szCs w:val="24"/>
          <w:lang w:eastAsia="ja-JP"/>
        </w:rPr>
        <w:t xml:space="preserve"> the physical </w:t>
      </w:r>
      <w:r w:rsidR="00A30391" w:rsidRPr="007D4DDF">
        <w:rPr>
          <w:rFonts w:eastAsia="MS Mincho"/>
          <w:szCs w:val="24"/>
          <w:lang w:eastAsia="ja-JP"/>
        </w:rPr>
        <w:t>eviction.</w:t>
      </w:r>
      <w:r w:rsidR="00A30391" w:rsidRPr="007D4DDF">
        <w:rPr>
          <w:color w:val="000000"/>
          <w:szCs w:val="24"/>
        </w:rPr>
        <w:t xml:space="preserve"> The</w:t>
      </w:r>
      <w:r w:rsidRPr="007D4DDF">
        <w:rPr>
          <w:color w:val="000000"/>
          <w:szCs w:val="24"/>
        </w:rPr>
        <w:t xml:space="preserve"> trauma associated with physical eviction</w:t>
      </w:r>
      <w:r w:rsidR="006B4DCA" w:rsidRPr="007D4DDF">
        <w:rPr>
          <w:color w:val="000000"/>
          <w:szCs w:val="24"/>
        </w:rPr>
        <w:t>,</w:t>
      </w:r>
      <w:r w:rsidR="009109F7" w:rsidRPr="007D4DDF">
        <w:rPr>
          <w:color w:val="000000"/>
          <w:szCs w:val="24"/>
        </w:rPr>
        <w:t xml:space="preserve"> however,</w:t>
      </w:r>
      <w:r w:rsidRPr="007D4DDF">
        <w:rPr>
          <w:color w:val="000000"/>
          <w:szCs w:val="24"/>
        </w:rPr>
        <w:t xml:space="preserve"> is almost always avoided by occupiers, when possible. Indeed, occupiers may cho</w:t>
      </w:r>
      <w:r w:rsidR="009109F7" w:rsidRPr="007D4DDF">
        <w:rPr>
          <w:color w:val="000000"/>
          <w:szCs w:val="24"/>
        </w:rPr>
        <w:t>o</w:t>
      </w:r>
      <w:r w:rsidRPr="007D4DDF">
        <w:rPr>
          <w:color w:val="000000"/>
          <w:szCs w:val="24"/>
        </w:rPr>
        <w:t xml:space="preserve">se to leave before that moment, albeit involuntarily, and the physical removal </w:t>
      </w:r>
      <w:r w:rsidR="00F74A5E" w:rsidRPr="007D4DDF">
        <w:rPr>
          <w:color w:val="000000"/>
          <w:szCs w:val="24"/>
        </w:rPr>
        <w:t>will</w:t>
      </w:r>
      <w:r w:rsidRPr="007D4DDF">
        <w:rPr>
          <w:color w:val="000000"/>
          <w:szCs w:val="24"/>
        </w:rPr>
        <w:t xml:space="preserve"> </w:t>
      </w:r>
      <w:r w:rsidR="00A175F0" w:rsidRPr="007D4DDF">
        <w:rPr>
          <w:color w:val="000000"/>
          <w:szCs w:val="24"/>
        </w:rPr>
        <w:t xml:space="preserve">not </w:t>
      </w:r>
      <w:r w:rsidRPr="007D4DDF">
        <w:rPr>
          <w:color w:val="000000"/>
          <w:szCs w:val="24"/>
        </w:rPr>
        <w:t xml:space="preserve">be necessary for an eviction to occur. </w:t>
      </w:r>
    </w:p>
    <w:p w14:paraId="00545044" w14:textId="77777777" w:rsidR="001C47BA" w:rsidRPr="007D4DDF" w:rsidRDefault="001C47BA" w:rsidP="00777703">
      <w:pPr>
        <w:spacing w:before="0" w:after="120" w:line="240" w:lineRule="auto"/>
        <w:rPr>
          <w:szCs w:val="24"/>
        </w:rPr>
      </w:pPr>
      <w:r w:rsidRPr="007D4DDF">
        <w:rPr>
          <w:color w:val="000000"/>
          <w:szCs w:val="24"/>
        </w:rPr>
        <w:t>While people move voluntarily and change accommodation all the time, it is the involuntary or forced moves which constitute eviction. In the Milwaukee study, s</w:t>
      </w:r>
      <w:r w:rsidRPr="007D4DDF">
        <w:rPr>
          <w:szCs w:val="24"/>
        </w:rPr>
        <w:t>ome of those who were surveyed did not go to court, but Desmond concluded they were undeniably evicted, although they did not see it in this way</w:t>
      </w:r>
      <w:r w:rsidR="00DD388F" w:rsidRPr="007D4DDF">
        <w:rPr>
          <w:szCs w:val="24"/>
        </w:rPr>
        <w:t xml:space="preserve"> </w:t>
      </w:r>
      <w:r w:rsidR="00EA2E8B" w:rsidRPr="007D4DDF">
        <w:rPr>
          <w:szCs w:val="24"/>
        </w:rPr>
        <w:t>‘“</w:t>
      </w:r>
      <w:r w:rsidRPr="007D4DDF">
        <w:rPr>
          <w:szCs w:val="24"/>
        </w:rPr>
        <w:t xml:space="preserve">When you say </w:t>
      </w:r>
      <w:r w:rsidR="006D5006" w:rsidRPr="007D4DDF">
        <w:rPr>
          <w:szCs w:val="24"/>
        </w:rPr>
        <w:t>‘</w:t>
      </w:r>
      <w:r w:rsidRPr="007D4DDF">
        <w:rPr>
          <w:szCs w:val="24"/>
        </w:rPr>
        <w:t>eviction</w:t>
      </w:r>
      <w:r w:rsidR="006D5006" w:rsidRPr="007D4DDF">
        <w:rPr>
          <w:szCs w:val="24"/>
        </w:rPr>
        <w:t>’,</w:t>
      </w:r>
      <w:r w:rsidRPr="007D4DDF">
        <w:rPr>
          <w:szCs w:val="24"/>
        </w:rPr>
        <w:t>” Rose explained, “I think of the sheriffs coming and throwing you out and changing the locks</w:t>
      </w:r>
      <w:r w:rsidR="00DD388F" w:rsidRPr="007D4DDF">
        <w:rPr>
          <w:szCs w:val="24"/>
        </w:rPr>
        <w:t xml:space="preserve"> …</w:t>
      </w:r>
      <w:r w:rsidR="00A30391" w:rsidRPr="007D4DDF">
        <w:rPr>
          <w:szCs w:val="24"/>
        </w:rPr>
        <w:t xml:space="preserve"> </w:t>
      </w:r>
      <w:r w:rsidRPr="007D4DDF">
        <w:rPr>
          <w:szCs w:val="24"/>
        </w:rPr>
        <w:t>That</w:t>
      </w:r>
      <w:r w:rsidR="00A30391" w:rsidRPr="007D4DDF">
        <w:rPr>
          <w:szCs w:val="24"/>
        </w:rPr>
        <w:t>’</w:t>
      </w:r>
      <w:r w:rsidRPr="007D4DDF">
        <w:rPr>
          <w:szCs w:val="24"/>
        </w:rPr>
        <w:t xml:space="preserve">s an eviction. We were </w:t>
      </w:r>
      <w:r w:rsidRPr="007D4DDF">
        <w:rPr>
          <w:i/>
          <w:szCs w:val="24"/>
        </w:rPr>
        <w:t>not</w:t>
      </w:r>
      <w:r w:rsidRPr="007D4DDF">
        <w:rPr>
          <w:szCs w:val="24"/>
        </w:rPr>
        <w:t xml:space="preserve"> evicted</w:t>
      </w:r>
      <w:r w:rsidR="009109F7" w:rsidRPr="007D4DDF">
        <w:rPr>
          <w:szCs w:val="24"/>
        </w:rPr>
        <w:t>.</w:t>
      </w:r>
      <w:r w:rsidRPr="007D4DDF">
        <w:rPr>
          <w:szCs w:val="24"/>
        </w:rPr>
        <w:t>”</w:t>
      </w:r>
      <w:r w:rsidR="006D5006" w:rsidRPr="007D4DDF">
        <w:rPr>
          <w:szCs w:val="24"/>
        </w:rPr>
        <w:t>’</w:t>
      </w:r>
      <w:r w:rsidRPr="007D4DDF">
        <w:rPr>
          <w:rStyle w:val="FootnoteReference"/>
          <w:szCs w:val="24"/>
        </w:rPr>
        <w:footnoteReference w:id="19"/>
      </w:r>
      <w:r w:rsidR="001D4C65" w:rsidRPr="007D4DDF">
        <w:rPr>
          <w:szCs w:val="24"/>
        </w:rPr>
        <w:t xml:space="preserve"> </w:t>
      </w:r>
      <w:r w:rsidRPr="007D4DDF">
        <w:rPr>
          <w:color w:val="000000"/>
          <w:szCs w:val="24"/>
        </w:rPr>
        <w:t xml:space="preserve">Desmond </w:t>
      </w:r>
      <w:r w:rsidRPr="007D4DDF">
        <w:rPr>
          <w:szCs w:val="24"/>
        </w:rPr>
        <w:t>points out that:</w:t>
      </w:r>
    </w:p>
    <w:p w14:paraId="3D97FCA5" w14:textId="198B79FF" w:rsidR="001A4592" w:rsidRPr="007D4DDF" w:rsidRDefault="001C47BA" w:rsidP="00777703">
      <w:pPr>
        <w:spacing w:before="0" w:after="120" w:line="240" w:lineRule="auto"/>
        <w:ind w:left="720"/>
        <w:rPr>
          <w:szCs w:val="24"/>
        </w:rPr>
      </w:pPr>
      <w:r w:rsidRPr="007D4DDF">
        <w:rPr>
          <w:sz w:val="22"/>
        </w:rPr>
        <w:lastRenderedPageBreak/>
        <w:t>I learned that asking why someone moved was no simple task. Tenants often provided an explanation for a move that maximized their own volition</w:t>
      </w:r>
      <w:r w:rsidR="00C95495" w:rsidRPr="007D4DDF">
        <w:rPr>
          <w:sz w:val="22"/>
        </w:rPr>
        <w:t xml:space="preserve"> … </w:t>
      </w:r>
      <w:r w:rsidRPr="007D4DDF">
        <w:rPr>
          <w:sz w:val="22"/>
        </w:rPr>
        <w:t>as tenants tended to have strict conceptions of eviction.</w:t>
      </w:r>
      <w:r w:rsidRPr="007D4DDF">
        <w:rPr>
          <w:rStyle w:val="FootnoteReference"/>
          <w:szCs w:val="24"/>
        </w:rPr>
        <w:footnoteReference w:id="20"/>
      </w:r>
    </w:p>
    <w:p w14:paraId="0AC42BC6" w14:textId="77777777" w:rsidR="001A4592" w:rsidRPr="007D4DDF" w:rsidRDefault="00D90C60"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In the Belgian research for this publication</w:t>
      </w:r>
      <w:r w:rsidR="006B4DCA" w:rsidRPr="007D4DDF">
        <w:rPr>
          <w:rFonts w:ascii="Times New Roman" w:hAnsi="Times New Roman"/>
          <w:color w:val="000000"/>
        </w:rPr>
        <w:t>,</w:t>
      </w:r>
      <w:r w:rsidR="001D4C65" w:rsidRPr="007D4DDF">
        <w:rPr>
          <w:rFonts w:ascii="Times New Roman" w:hAnsi="Times New Roman"/>
          <w:color w:val="000000"/>
        </w:rPr>
        <w:t xml:space="preserve"> the </w:t>
      </w:r>
      <w:r w:rsidR="00F74A5E" w:rsidRPr="007D4DDF">
        <w:rPr>
          <w:rFonts w:ascii="Times New Roman" w:hAnsi="Times New Roman"/>
          <w:color w:val="000000"/>
        </w:rPr>
        <w:t>social workers</w:t>
      </w:r>
      <w:r w:rsidR="006646C6" w:rsidRPr="007D4DDF">
        <w:rPr>
          <w:rFonts w:ascii="Times New Roman" w:hAnsi="Times New Roman"/>
          <w:color w:val="000000"/>
        </w:rPr>
        <w:t>’</w:t>
      </w:r>
      <w:r w:rsidR="00F74A5E" w:rsidRPr="007D4DDF">
        <w:rPr>
          <w:rFonts w:ascii="Times New Roman" w:hAnsi="Times New Roman"/>
          <w:color w:val="000000"/>
        </w:rPr>
        <w:t xml:space="preserve"> advice </w:t>
      </w:r>
      <w:r w:rsidR="001D4C65" w:rsidRPr="007D4DDF">
        <w:rPr>
          <w:rFonts w:ascii="Times New Roman" w:hAnsi="Times New Roman"/>
          <w:color w:val="000000"/>
        </w:rPr>
        <w:t xml:space="preserve">that </w:t>
      </w:r>
      <w:r w:rsidR="006646C6" w:rsidRPr="007D4DDF">
        <w:rPr>
          <w:rFonts w:ascii="Times New Roman" w:hAnsi="Times New Roman"/>
          <w:color w:val="000000"/>
        </w:rPr>
        <w:t>‘</w:t>
      </w:r>
      <w:r w:rsidRPr="007D4DDF">
        <w:rPr>
          <w:rFonts w:ascii="Times New Roman" w:hAnsi="Times New Roman"/>
          <w:color w:val="000000"/>
        </w:rPr>
        <w:t xml:space="preserve">tenants </w:t>
      </w:r>
      <w:r w:rsidR="00D579E3" w:rsidRPr="007D4DDF">
        <w:rPr>
          <w:rFonts w:ascii="Times New Roman" w:hAnsi="Times New Roman"/>
          <w:color w:val="000000"/>
        </w:rPr>
        <w:t xml:space="preserve">[should] </w:t>
      </w:r>
      <w:r w:rsidRPr="007D4DDF">
        <w:rPr>
          <w:rFonts w:ascii="Times New Roman" w:hAnsi="Times New Roman"/>
          <w:color w:val="000000"/>
        </w:rPr>
        <w:t>disappear</w:t>
      </w:r>
      <w:r w:rsidR="006646C6" w:rsidRPr="007D4DDF">
        <w:rPr>
          <w:rFonts w:ascii="Times New Roman" w:hAnsi="Times New Roman"/>
          <w:color w:val="000000"/>
        </w:rPr>
        <w:t>’</w:t>
      </w:r>
      <w:r w:rsidRPr="007D4DDF">
        <w:rPr>
          <w:rFonts w:ascii="Times New Roman" w:hAnsi="Times New Roman"/>
          <w:color w:val="000000"/>
        </w:rPr>
        <w:t xml:space="preserve"> when summoned to court</w:t>
      </w:r>
      <w:r w:rsidR="00F74A5E" w:rsidRPr="007D4DDF">
        <w:rPr>
          <w:rFonts w:ascii="Times New Roman" w:hAnsi="Times New Roman"/>
          <w:color w:val="000000"/>
        </w:rPr>
        <w:t>,</w:t>
      </w:r>
      <w:r w:rsidRPr="007D4DDF">
        <w:rPr>
          <w:rFonts w:ascii="Times New Roman" w:hAnsi="Times New Roman"/>
          <w:color w:val="000000"/>
        </w:rPr>
        <w:t xml:space="preserve"> or </w:t>
      </w:r>
      <w:r w:rsidR="00A2655D" w:rsidRPr="007D4DDF">
        <w:rPr>
          <w:rFonts w:ascii="Times New Roman" w:hAnsi="Times New Roman"/>
          <w:color w:val="000000"/>
        </w:rPr>
        <w:t xml:space="preserve">in order </w:t>
      </w:r>
      <w:r w:rsidRPr="007D4DDF">
        <w:rPr>
          <w:rFonts w:ascii="Times New Roman" w:hAnsi="Times New Roman"/>
          <w:color w:val="000000"/>
        </w:rPr>
        <w:t>to avoid the experience of eviction</w:t>
      </w:r>
      <w:r w:rsidR="00F74A5E" w:rsidRPr="007D4DDF">
        <w:rPr>
          <w:rFonts w:ascii="Times New Roman" w:hAnsi="Times New Roman"/>
          <w:color w:val="000000"/>
        </w:rPr>
        <w:t>,</w:t>
      </w:r>
      <w:r w:rsidRPr="007D4DDF">
        <w:rPr>
          <w:rFonts w:ascii="Times New Roman" w:hAnsi="Times New Roman"/>
          <w:color w:val="000000"/>
        </w:rPr>
        <w:t xml:space="preserve"> was described thus:</w:t>
      </w:r>
    </w:p>
    <w:p w14:paraId="22D00706" w14:textId="59768975" w:rsidR="001A4592" w:rsidRPr="007D4DDF" w:rsidRDefault="00D90C60" w:rsidP="00777703">
      <w:pPr>
        <w:spacing w:before="0" w:after="120" w:line="240" w:lineRule="auto"/>
        <w:ind w:left="720"/>
        <w:rPr>
          <w:color w:val="000000"/>
          <w:szCs w:val="24"/>
        </w:rPr>
      </w:pPr>
      <w:r w:rsidRPr="007D4DDF">
        <w:rPr>
          <w:color w:val="000000"/>
          <w:sz w:val="22"/>
        </w:rPr>
        <w:t>I always tell people to make sure that they go away of their own accord. Certainly, if it concerns a family when children are involved. (</w:t>
      </w:r>
      <w:r w:rsidR="00C95495" w:rsidRPr="007D4DDF">
        <w:rPr>
          <w:color w:val="000000"/>
          <w:sz w:val="22"/>
        </w:rPr>
        <w:t>…</w:t>
      </w:r>
      <w:r w:rsidRPr="007D4DDF">
        <w:rPr>
          <w:color w:val="000000"/>
          <w:sz w:val="22"/>
        </w:rPr>
        <w:t xml:space="preserve">) There </w:t>
      </w:r>
      <w:proofErr w:type="gramStart"/>
      <w:r w:rsidRPr="007D4DDF">
        <w:rPr>
          <w:color w:val="000000"/>
          <w:sz w:val="22"/>
        </w:rPr>
        <w:t>is</w:t>
      </w:r>
      <w:proofErr w:type="gramEnd"/>
      <w:r w:rsidRPr="007D4DDF">
        <w:rPr>
          <w:color w:val="000000"/>
          <w:sz w:val="22"/>
        </w:rPr>
        <w:t xml:space="preserve"> police, with a bailiff. Everyone in the street is watching. Just not a good experience. Avoid that, and we’ll agree that you leave the key somewhere.</w:t>
      </w:r>
      <w:r w:rsidRPr="007D4DDF">
        <w:rPr>
          <w:rStyle w:val="FootnoteReference"/>
          <w:color w:val="000000"/>
          <w:szCs w:val="24"/>
        </w:rPr>
        <w:footnoteReference w:id="21"/>
      </w:r>
    </w:p>
    <w:p w14:paraId="21AA3E95" w14:textId="33842279" w:rsidR="00D107C3" w:rsidRDefault="001C47BA" w:rsidP="00395E14">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The EU Pilot Project</w:t>
      </w:r>
      <w:r w:rsidR="007D7E29" w:rsidRPr="007D4DDF">
        <w:rPr>
          <w:rFonts w:ascii="Times New Roman" w:hAnsi="Times New Roman"/>
          <w:color w:val="000000"/>
        </w:rPr>
        <w:t xml:space="preserve"> </w:t>
      </w:r>
      <w:r w:rsidR="006771D4" w:rsidRPr="007D4DDF">
        <w:rPr>
          <w:rFonts w:ascii="Times New Roman" w:hAnsi="Times New Roman"/>
          <w:color w:val="000000"/>
        </w:rPr>
        <w:t>R</w:t>
      </w:r>
      <w:r w:rsidRPr="007D4DDF">
        <w:rPr>
          <w:rFonts w:ascii="Times New Roman" w:hAnsi="Times New Roman"/>
          <w:color w:val="000000"/>
        </w:rPr>
        <w:t>eport identified the process of eviction as beginning at the moment when an occupier is formally instructed to leave the home.</w:t>
      </w:r>
      <w:r w:rsidRPr="007D4DDF">
        <w:rPr>
          <w:rStyle w:val="FootnoteReference"/>
          <w:rFonts w:ascii="Times New Roman" w:hAnsi="Times New Roman"/>
          <w:color w:val="000000"/>
        </w:rPr>
        <w:footnoteReference w:id="22"/>
      </w:r>
      <w:r w:rsidRPr="007D4DDF">
        <w:rPr>
          <w:rFonts w:ascii="Times New Roman" w:hAnsi="Times New Roman"/>
          <w:color w:val="000000"/>
        </w:rPr>
        <w:t xml:space="preserve"> This excludes situations where an occupier willingly moves out, including leaving at the natural end of a tenancy.</w:t>
      </w:r>
      <w:r w:rsidRPr="007D4DDF">
        <w:rPr>
          <w:rStyle w:val="FootnoteReference"/>
          <w:rFonts w:ascii="Times New Roman" w:hAnsi="Times New Roman"/>
          <w:color w:val="000000"/>
        </w:rPr>
        <w:footnoteReference w:id="23"/>
      </w:r>
      <w:r w:rsidR="00424B82" w:rsidRPr="007D4DDF">
        <w:rPr>
          <w:rFonts w:ascii="Times New Roman" w:hAnsi="Times New Roman"/>
          <w:color w:val="000000"/>
        </w:rPr>
        <w:t xml:space="preserve"> In many cases, occupiers </w:t>
      </w:r>
      <w:r w:rsidR="00EF7833" w:rsidRPr="007D4DDF">
        <w:rPr>
          <w:rFonts w:ascii="Times New Roman" w:hAnsi="Times New Roman"/>
          <w:color w:val="000000"/>
        </w:rPr>
        <w:t xml:space="preserve">vacate </w:t>
      </w:r>
      <w:r w:rsidRPr="007D4DDF">
        <w:rPr>
          <w:rFonts w:ascii="Times New Roman" w:hAnsi="Times New Roman"/>
          <w:color w:val="000000"/>
        </w:rPr>
        <w:t>their accommodation after the instruction to leave</w:t>
      </w:r>
      <w:r w:rsidR="00EF7833" w:rsidRPr="007D4DDF">
        <w:rPr>
          <w:rFonts w:ascii="Times New Roman" w:hAnsi="Times New Roman"/>
          <w:color w:val="000000"/>
        </w:rPr>
        <w:t>,</w:t>
      </w:r>
      <w:r w:rsidRPr="007D4DDF">
        <w:rPr>
          <w:rFonts w:ascii="Times New Roman" w:hAnsi="Times New Roman"/>
          <w:color w:val="000000"/>
        </w:rPr>
        <w:t xml:space="preserve"> but before the completion of the full formal eviction process</w:t>
      </w:r>
      <w:r w:rsidR="00EF7833" w:rsidRPr="007D4DDF">
        <w:rPr>
          <w:rFonts w:ascii="Times New Roman" w:hAnsi="Times New Roman"/>
          <w:color w:val="000000"/>
        </w:rPr>
        <w:t xml:space="preserve">. </w:t>
      </w:r>
      <w:r w:rsidRPr="007D4DDF">
        <w:rPr>
          <w:rFonts w:ascii="Times New Roman" w:hAnsi="Times New Roman"/>
          <w:color w:val="000000"/>
        </w:rPr>
        <w:t xml:space="preserve">The formal instruction to leave the </w:t>
      </w:r>
      <w:r w:rsidR="00D6597E" w:rsidRPr="007D4DDF">
        <w:rPr>
          <w:rFonts w:ascii="Times New Roman" w:hAnsi="Times New Roman"/>
          <w:color w:val="000000"/>
        </w:rPr>
        <w:t>premises</w:t>
      </w:r>
      <w:r w:rsidRPr="007D4DDF">
        <w:rPr>
          <w:rFonts w:ascii="Times New Roman" w:hAnsi="Times New Roman"/>
          <w:color w:val="000000"/>
        </w:rPr>
        <w:t xml:space="preserve"> may involve a notice from the owner</w:t>
      </w:r>
      <w:r w:rsidR="00A2655D" w:rsidRPr="007D4DDF">
        <w:rPr>
          <w:rFonts w:ascii="Times New Roman" w:hAnsi="Times New Roman"/>
          <w:color w:val="000000"/>
        </w:rPr>
        <w:t>,</w:t>
      </w:r>
      <w:r w:rsidRPr="007D4DDF">
        <w:rPr>
          <w:rFonts w:ascii="Times New Roman" w:hAnsi="Times New Roman"/>
          <w:color w:val="000000"/>
        </w:rPr>
        <w:t xml:space="preserve"> mortgagee or landlord requiring the occupant to vacate the property</w:t>
      </w:r>
      <w:r w:rsidR="00D6597E" w:rsidRPr="007D4DDF">
        <w:rPr>
          <w:rFonts w:ascii="Times New Roman" w:hAnsi="Times New Roman"/>
          <w:color w:val="000000"/>
        </w:rPr>
        <w:t>;</w:t>
      </w:r>
      <w:r w:rsidRPr="007D4DDF">
        <w:rPr>
          <w:rFonts w:ascii="Times New Roman" w:hAnsi="Times New Roman"/>
          <w:color w:val="000000"/>
        </w:rPr>
        <w:t xml:space="preserve"> the service of proceedings for possession</w:t>
      </w:r>
      <w:r w:rsidR="00D6597E" w:rsidRPr="007D4DDF">
        <w:rPr>
          <w:rFonts w:ascii="Times New Roman" w:hAnsi="Times New Roman"/>
          <w:color w:val="000000"/>
        </w:rPr>
        <w:t>;</w:t>
      </w:r>
      <w:r w:rsidRPr="007D4DDF">
        <w:rPr>
          <w:rFonts w:ascii="Times New Roman" w:hAnsi="Times New Roman"/>
          <w:color w:val="000000"/>
        </w:rPr>
        <w:t xml:space="preserve"> the service of a barring order</w:t>
      </w:r>
      <w:r w:rsidR="00D6597E" w:rsidRPr="007D4DDF">
        <w:rPr>
          <w:rFonts w:ascii="Times New Roman" w:hAnsi="Times New Roman"/>
          <w:color w:val="000000"/>
        </w:rPr>
        <w:t xml:space="preserve"> or</w:t>
      </w:r>
      <w:r w:rsidRPr="007D4DDF">
        <w:rPr>
          <w:rFonts w:ascii="Times New Roman" w:hAnsi="Times New Roman"/>
          <w:color w:val="000000"/>
        </w:rPr>
        <w:t xml:space="preserve"> divorce</w:t>
      </w:r>
      <w:r w:rsidR="00D6597E" w:rsidRPr="007D4DDF">
        <w:rPr>
          <w:rFonts w:ascii="Times New Roman" w:hAnsi="Times New Roman"/>
          <w:color w:val="000000"/>
        </w:rPr>
        <w:t xml:space="preserve"> papers;</w:t>
      </w:r>
      <w:r w:rsidRPr="007D4DDF">
        <w:rPr>
          <w:rFonts w:ascii="Times New Roman" w:hAnsi="Times New Roman"/>
          <w:color w:val="000000"/>
        </w:rPr>
        <w:t xml:space="preserve"> or some other such instruction.</w:t>
      </w:r>
      <w:r w:rsidRPr="007D4DDF">
        <w:rPr>
          <w:rStyle w:val="FootnoteReference"/>
          <w:rFonts w:ascii="Times New Roman" w:hAnsi="Times New Roman"/>
          <w:color w:val="000000"/>
        </w:rPr>
        <w:footnoteReference w:id="24"/>
      </w:r>
      <w:r w:rsidRPr="007D4DDF">
        <w:rPr>
          <w:rFonts w:ascii="Times New Roman" w:hAnsi="Times New Roman"/>
          <w:color w:val="000000"/>
        </w:rPr>
        <w:t xml:space="preserve"> In this context, across Europe there are both judicially </w:t>
      </w:r>
      <w:r w:rsidR="009134ED" w:rsidRPr="007D4DDF">
        <w:rPr>
          <w:rFonts w:ascii="Times New Roman" w:hAnsi="Times New Roman"/>
          <w:color w:val="000000"/>
        </w:rPr>
        <w:t>supervi</w:t>
      </w:r>
      <w:r w:rsidR="009134ED">
        <w:rPr>
          <w:rFonts w:ascii="Times New Roman" w:hAnsi="Times New Roman"/>
          <w:color w:val="000000"/>
        </w:rPr>
        <w:t>s</w:t>
      </w:r>
      <w:r w:rsidR="009134ED" w:rsidRPr="007D4DDF">
        <w:rPr>
          <w:rFonts w:ascii="Times New Roman" w:hAnsi="Times New Roman"/>
          <w:color w:val="000000"/>
        </w:rPr>
        <w:t xml:space="preserve">ed </w:t>
      </w:r>
      <w:r w:rsidRPr="007D4DDF">
        <w:rPr>
          <w:rFonts w:ascii="Times New Roman" w:hAnsi="Times New Roman"/>
          <w:color w:val="000000"/>
        </w:rPr>
        <w:t>and non-judicially supervised evictions</w:t>
      </w:r>
      <w:r w:rsidR="00D65F6E" w:rsidRPr="007D4DDF">
        <w:rPr>
          <w:rFonts w:ascii="Times New Roman" w:hAnsi="Times New Roman"/>
          <w:color w:val="000000"/>
        </w:rPr>
        <w:t>;</w:t>
      </w:r>
      <w:r w:rsidRPr="007D4DDF">
        <w:rPr>
          <w:rFonts w:ascii="Times New Roman" w:hAnsi="Times New Roman"/>
          <w:color w:val="000000"/>
        </w:rPr>
        <w:t xml:space="preserve"> and some of the latter evictions may be illegal, as illustrated in </w:t>
      </w:r>
      <w:r w:rsidR="00D6597E" w:rsidRPr="007D4DDF">
        <w:rPr>
          <w:rFonts w:ascii="Times New Roman" w:hAnsi="Times New Roman"/>
          <w:color w:val="000000"/>
        </w:rPr>
        <w:t xml:space="preserve">Table </w:t>
      </w:r>
      <w:r w:rsidR="00195307" w:rsidRPr="007D4DDF">
        <w:rPr>
          <w:rFonts w:ascii="Times New Roman" w:hAnsi="Times New Roman"/>
          <w:color w:val="000000"/>
        </w:rPr>
        <w:t>I</w:t>
      </w:r>
      <w:r w:rsidR="00D6597E" w:rsidRPr="007D4DDF">
        <w:rPr>
          <w:rFonts w:ascii="Times New Roman" w:hAnsi="Times New Roman"/>
          <w:color w:val="000000"/>
        </w:rPr>
        <w:t>.</w:t>
      </w:r>
      <w:r w:rsidRPr="007D4DDF">
        <w:rPr>
          <w:rFonts w:ascii="Times New Roman" w:hAnsi="Times New Roman"/>
          <w:color w:val="000000"/>
        </w:rPr>
        <w:t xml:space="preserve"> below.</w:t>
      </w:r>
      <w:r w:rsidR="00517D46" w:rsidRPr="007D4DDF">
        <w:rPr>
          <w:rFonts w:ascii="Times New Roman" w:hAnsi="Times New Roman"/>
          <w:color w:val="000000"/>
        </w:rPr>
        <w:t xml:space="preserve"> </w:t>
      </w:r>
    </w:p>
    <w:p w14:paraId="1B2FA5F5" w14:textId="018173AC" w:rsidR="001A4592" w:rsidRDefault="001C47BA" w:rsidP="00395E14">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In developing a deeper analysis, the </w:t>
      </w:r>
      <w:r w:rsidR="007F5CCC" w:rsidRPr="007D4DDF">
        <w:rPr>
          <w:rFonts w:ascii="Times New Roman" w:hAnsi="Times New Roman"/>
          <w:color w:val="000000"/>
        </w:rPr>
        <w:t xml:space="preserve">EU </w:t>
      </w:r>
      <w:r w:rsidR="00657BFD" w:rsidRPr="007D4DDF">
        <w:rPr>
          <w:rFonts w:ascii="Times New Roman" w:hAnsi="Times New Roman"/>
          <w:color w:val="000000"/>
        </w:rPr>
        <w:t>Pilot Project Report</w:t>
      </w:r>
      <w:r w:rsidR="00517D46" w:rsidRPr="007D4DDF">
        <w:rPr>
          <w:rFonts w:ascii="Times New Roman" w:hAnsi="Times New Roman"/>
          <w:color w:val="000000"/>
        </w:rPr>
        <w:t xml:space="preserve"> </w:t>
      </w:r>
      <w:r w:rsidRPr="007D4DDF">
        <w:rPr>
          <w:rFonts w:ascii="Times New Roman" w:hAnsi="Times New Roman"/>
          <w:color w:val="000000"/>
        </w:rPr>
        <w:t>identified the judicially supervised eviction process as co</w:t>
      </w:r>
      <w:r w:rsidR="00657BFD" w:rsidRPr="007D4DDF">
        <w:rPr>
          <w:rFonts w:ascii="Times New Roman" w:hAnsi="Times New Roman"/>
          <w:color w:val="000000"/>
        </w:rPr>
        <w:t xml:space="preserve">mprising three distinct phases. </w:t>
      </w:r>
      <w:r w:rsidRPr="007D4DDF">
        <w:rPr>
          <w:rFonts w:ascii="Times New Roman" w:hAnsi="Times New Roman"/>
          <w:color w:val="000000"/>
        </w:rPr>
        <w:t>The first phase is the pre-court phase and begins from the moment of issuance of the formal instruction to leave.</w:t>
      </w:r>
      <w:r w:rsidRPr="007D4DDF">
        <w:rPr>
          <w:rStyle w:val="FootnoteReference"/>
          <w:rFonts w:ascii="Times New Roman" w:hAnsi="Times New Roman"/>
          <w:color w:val="000000"/>
        </w:rPr>
        <w:footnoteReference w:id="25"/>
      </w:r>
      <w:r w:rsidRPr="007D4DDF">
        <w:rPr>
          <w:rFonts w:ascii="Times New Roman" w:hAnsi="Times New Roman"/>
          <w:color w:val="000000"/>
        </w:rPr>
        <w:t xml:space="preserve"> The second phase involves the court process itself. The third phase encompasses the period between the court order </w:t>
      </w:r>
      <w:r w:rsidR="004F4225" w:rsidRPr="007D4DDF">
        <w:rPr>
          <w:rFonts w:ascii="Times New Roman" w:hAnsi="Times New Roman"/>
          <w:color w:val="000000"/>
        </w:rPr>
        <w:t>for</w:t>
      </w:r>
      <w:r w:rsidRPr="007D4DDF">
        <w:rPr>
          <w:rFonts w:ascii="Times New Roman" w:hAnsi="Times New Roman"/>
          <w:color w:val="000000"/>
        </w:rPr>
        <w:t xml:space="preserve"> possession and the actual physical eviction (if it actually takes place). There is a possible link with homelessness at every stage of this process, and indeed</w:t>
      </w:r>
      <w:r w:rsidR="00074BDB" w:rsidRPr="007D4DDF">
        <w:rPr>
          <w:rFonts w:ascii="Times New Roman" w:hAnsi="Times New Roman"/>
          <w:color w:val="000000"/>
        </w:rPr>
        <w:t>,</w:t>
      </w:r>
      <w:r w:rsidRPr="007D4DDF">
        <w:rPr>
          <w:rFonts w:ascii="Times New Roman" w:hAnsi="Times New Roman"/>
          <w:color w:val="000000"/>
        </w:rPr>
        <w:t xml:space="preserve"> people may become homeless even at the first stage, as they may leave </w:t>
      </w:r>
      <w:r w:rsidR="00D06BC2" w:rsidRPr="007D4DDF">
        <w:rPr>
          <w:rFonts w:ascii="Times New Roman" w:hAnsi="Times New Roman"/>
          <w:color w:val="000000"/>
        </w:rPr>
        <w:t xml:space="preserve">their homes </w:t>
      </w:r>
      <w:r w:rsidRPr="007D4DDF">
        <w:rPr>
          <w:rFonts w:ascii="Times New Roman" w:hAnsi="Times New Roman"/>
          <w:color w:val="000000"/>
        </w:rPr>
        <w:t xml:space="preserve">on receiving </w:t>
      </w:r>
      <w:r w:rsidR="00D06BC2" w:rsidRPr="007D4DDF">
        <w:rPr>
          <w:rFonts w:ascii="Times New Roman" w:hAnsi="Times New Roman"/>
          <w:color w:val="000000"/>
        </w:rPr>
        <w:t xml:space="preserve">formal </w:t>
      </w:r>
      <w:r w:rsidRPr="007D4DDF">
        <w:rPr>
          <w:rFonts w:ascii="Times New Roman" w:hAnsi="Times New Roman"/>
          <w:color w:val="000000"/>
        </w:rPr>
        <w:t>notice to quit.</w:t>
      </w:r>
    </w:p>
    <w:p w14:paraId="5E3F3605" w14:textId="3A0841EC" w:rsidR="006E160F" w:rsidRDefault="006E160F" w:rsidP="00395E14">
      <w:pPr>
        <w:pStyle w:val="normal12"/>
        <w:suppressAutoHyphens/>
        <w:spacing w:before="0" w:line="240" w:lineRule="auto"/>
        <w:jc w:val="left"/>
        <w:rPr>
          <w:rFonts w:ascii="Times New Roman" w:hAnsi="Times New Roman"/>
          <w:color w:val="000000"/>
        </w:rPr>
      </w:pPr>
    </w:p>
    <w:p w14:paraId="69D5D372" w14:textId="77777777" w:rsidR="006E160F" w:rsidRPr="007D4DDF" w:rsidRDefault="006E160F" w:rsidP="00395E14">
      <w:pPr>
        <w:pStyle w:val="normal12"/>
        <w:suppressAutoHyphens/>
        <w:spacing w:before="0" w:line="240" w:lineRule="auto"/>
        <w:jc w:val="left"/>
        <w:rPr>
          <w:rFonts w:ascii="Times New Roman" w:hAnsi="Times New Roman"/>
          <w:color w:val="000000"/>
        </w:rPr>
      </w:pPr>
    </w:p>
    <w:p w14:paraId="76BF9909" w14:textId="526BFFB1" w:rsidR="001C47BA" w:rsidRPr="008B1CB3" w:rsidRDefault="00FB0DEF" w:rsidP="00395E14">
      <w:pPr>
        <w:pStyle w:val="Caption"/>
        <w:spacing w:after="120"/>
        <w:rPr>
          <w:b/>
          <w:bCs/>
          <w:color w:val="000000"/>
          <w:sz w:val="24"/>
          <w:szCs w:val="24"/>
        </w:rPr>
      </w:pPr>
      <w:r w:rsidRPr="008B1CB3">
        <w:rPr>
          <w:b/>
          <w:bCs/>
          <w:color w:val="000000"/>
          <w:sz w:val="24"/>
          <w:szCs w:val="24"/>
        </w:rPr>
        <w:lastRenderedPageBreak/>
        <w:t xml:space="preserve">Table </w:t>
      </w:r>
      <w:r w:rsidR="00195307" w:rsidRPr="008B1CB3">
        <w:rPr>
          <w:b/>
          <w:bCs/>
          <w:color w:val="000000"/>
          <w:sz w:val="24"/>
          <w:szCs w:val="24"/>
        </w:rPr>
        <w:t>I</w:t>
      </w:r>
      <w:r w:rsidRPr="008B1CB3">
        <w:rPr>
          <w:b/>
          <w:bCs/>
          <w:color w:val="000000"/>
          <w:sz w:val="24"/>
          <w:szCs w:val="24"/>
        </w:rPr>
        <w:t>.</w:t>
      </w:r>
      <w:r w:rsidR="00A17904" w:rsidRPr="008B1CB3">
        <w:rPr>
          <w:b/>
          <w:bCs/>
          <w:color w:val="000000"/>
          <w:sz w:val="24"/>
          <w:szCs w:val="24"/>
        </w:rPr>
        <w:t xml:space="preserve"> </w:t>
      </w:r>
      <w:r w:rsidR="001C47BA" w:rsidRPr="008B1CB3">
        <w:rPr>
          <w:b/>
          <w:bCs/>
          <w:color w:val="000000"/>
          <w:sz w:val="24"/>
          <w:szCs w:val="24"/>
        </w:rPr>
        <w:t>Phases of eviction process for judicially supervised and non-judicially supervised evictions</w:t>
      </w:r>
      <w:r w:rsidR="00D353E1" w:rsidRPr="008B1CB3">
        <w:rPr>
          <w:rStyle w:val="FootnoteReference"/>
          <w:b/>
          <w:bCs/>
          <w:i w:val="0"/>
          <w:color w:val="000000"/>
          <w:sz w:val="24"/>
          <w:szCs w:val="24"/>
        </w:rPr>
        <w:footnoteReference w:id="2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52"/>
        <w:gridCol w:w="2754"/>
      </w:tblGrid>
      <w:tr w:rsidR="00374816" w:rsidRPr="007D4DDF" w14:paraId="6731B23D" w14:textId="77777777" w:rsidTr="00F83C0F">
        <w:trPr>
          <w:cantSplit/>
        </w:trPr>
        <w:tc>
          <w:tcPr>
            <w:tcW w:w="8408" w:type="dxa"/>
            <w:gridSpan w:val="3"/>
            <w:shd w:val="clear" w:color="auto" w:fill="auto"/>
          </w:tcPr>
          <w:p w14:paraId="2F5EE987" w14:textId="77777777" w:rsidR="00374816" w:rsidRPr="008B1CB3" w:rsidRDefault="00374816" w:rsidP="00777703">
            <w:pPr>
              <w:tabs>
                <w:tab w:val="left" w:pos="5562"/>
              </w:tabs>
              <w:spacing w:before="0" w:after="120" w:line="240" w:lineRule="auto"/>
              <w:ind w:left="5562" w:hanging="5562"/>
              <w:rPr>
                <w:b/>
                <w:bCs/>
                <w:i/>
                <w:szCs w:val="24"/>
              </w:rPr>
            </w:pPr>
            <w:r w:rsidRPr="008B1CB3">
              <w:rPr>
                <w:b/>
                <w:bCs/>
                <w:szCs w:val="24"/>
              </w:rPr>
              <w:t>Judicially</w:t>
            </w:r>
            <w:r w:rsidRPr="008B1CB3">
              <w:rPr>
                <w:b/>
                <w:bCs/>
                <w:i/>
                <w:szCs w:val="24"/>
              </w:rPr>
              <w:t xml:space="preserve"> </w:t>
            </w:r>
            <w:r w:rsidR="00754B18" w:rsidRPr="008B1CB3">
              <w:rPr>
                <w:b/>
                <w:bCs/>
                <w:szCs w:val="24"/>
              </w:rPr>
              <w:t>s</w:t>
            </w:r>
            <w:r w:rsidRPr="008B1CB3">
              <w:rPr>
                <w:b/>
                <w:bCs/>
                <w:szCs w:val="24"/>
              </w:rPr>
              <w:t>upervised</w:t>
            </w:r>
            <w:r w:rsidRPr="008B1CB3">
              <w:rPr>
                <w:b/>
                <w:bCs/>
                <w:i/>
                <w:szCs w:val="24"/>
              </w:rPr>
              <w:t xml:space="preserve"> </w:t>
            </w:r>
            <w:r w:rsidR="00754B18" w:rsidRPr="008B1CB3">
              <w:rPr>
                <w:b/>
                <w:bCs/>
                <w:szCs w:val="24"/>
              </w:rPr>
              <w:t>e</w:t>
            </w:r>
            <w:r w:rsidRPr="008B1CB3">
              <w:rPr>
                <w:b/>
                <w:bCs/>
                <w:szCs w:val="24"/>
              </w:rPr>
              <w:t>victions</w:t>
            </w:r>
            <w:r w:rsidR="00035758" w:rsidRPr="008B1CB3">
              <w:rPr>
                <w:b/>
                <w:bCs/>
                <w:i/>
                <w:szCs w:val="24"/>
              </w:rPr>
              <w:t xml:space="preserve">              </w:t>
            </w:r>
            <w:r w:rsidR="00EF7833" w:rsidRPr="008B1CB3">
              <w:rPr>
                <w:b/>
                <w:bCs/>
                <w:i/>
                <w:szCs w:val="24"/>
              </w:rPr>
              <w:t xml:space="preserve"> </w:t>
            </w:r>
            <w:r w:rsidRPr="008B1CB3">
              <w:rPr>
                <w:b/>
                <w:bCs/>
                <w:szCs w:val="24"/>
              </w:rPr>
              <w:t>Non</w:t>
            </w:r>
            <w:r w:rsidRPr="008B1CB3">
              <w:rPr>
                <w:b/>
                <w:bCs/>
                <w:i/>
                <w:szCs w:val="24"/>
              </w:rPr>
              <w:t>-</w:t>
            </w:r>
            <w:r w:rsidR="00754B18" w:rsidRPr="008B1CB3">
              <w:rPr>
                <w:b/>
                <w:bCs/>
                <w:szCs w:val="24"/>
              </w:rPr>
              <w:t>j</w:t>
            </w:r>
            <w:r w:rsidRPr="008B1CB3">
              <w:rPr>
                <w:b/>
                <w:bCs/>
                <w:szCs w:val="24"/>
              </w:rPr>
              <w:t>udicially</w:t>
            </w:r>
            <w:r w:rsidRPr="008B1CB3">
              <w:rPr>
                <w:b/>
                <w:bCs/>
                <w:i/>
                <w:szCs w:val="24"/>
              </w:rPr>
              <w:t xml:space="preserve"> </w:t>
            </w:r>
            <w:r w:rsidR="00754B18" w:rsidRPr="008B1CB3">
              <w:rPr>
                <w:b/>
                <w:bCs/>
                <w:szCs w:val="24"/>
              </w:rPr>
              <w:t>s</w:t>
            </w:r>
            <w:r w:rsidRPr="008B1CB3">
              <w:rPr>
                <w:b/>
                <w:bCs/>
                <w:szCs w:val="24"/>
              </w:rPr>
              <w:t>upervised</w:t>
            </w:r>
            <w:r w:rsidR="00035758" w:rsidRPr="008B1CB3">
              <w:rPr>
                <w:b/>
                <w:bCs/>
                <w:i/>
                <w:szCs w:val="24"/>
              </w:rPr>
              <w:t xml:space="preserve">     </w:t>
            </w:r>
            <w:r w:rsidR="00754B18" w:rsidRPr="008B1CB3">
              <w:rPr>
                <w:b/>
                <w:bCs/>
                <w:szCs w:val="24"/>
              </w:rPr>
              <w:t>e</w:t>
            </w:r>
            <w:r w:rsidRPr="008B1CB3">
              <w:rPr>
                <w:b/>
                <w:bCs/>
                <w:szCs w:val="24"/>
              </w:rPr>
              <w:t>victions</w:t>
            </w:r>
            <w:r w:rsidRPr="008B1CB3">
              <w:rPr>
                <w:b/>
                <w:bCs/>
                <w:i/>
                <w:szCs w:val="24"/>
              </w:rPr>
              <w:t xml:space="preserve"> </w:t>
            </w:r>
          </w:p>
        </w:tc>
      </w:tr>
      <w:tr w:rsidR="00374816" w:rsidRPr="007D4DDF" w14:paraId="1AE40E71" w14:textId="77777777" w:rsidTr="00F83C0F">
        <w:trPr>
          <w:cantSplit/>
        </w:trPr>
        <w:tc>
          <w:tcPr>
            <w:tcW w:w="3402" w:type="dxa"/>
            <w:shd w:val="clear" w:color="auto" w:fill="auto"/>
          </w:tcPr>
          <w:p w14:paraId="788FB1F6" w14:textId="77777777" w:rsidR="00374816" w:rsidRPr="007D4DDF" w:rsidRDefault="00374816" w:rsidP="00395E14">
            <w:pPr>
              <w:spacing w:before="0" w:after="120" w:line="240" w:lineRule="auto"/>
              <w:rPr>
                <w:szCs w:val="24"/>
              </w:rPr>
            </w:pPr>
          </w:p>
        </w:tc>
        <w:tc>
          <w:tcPr>
            <w:tcW w:w="2252" w:type="dxa"/>
            <w:shd w:val="clear" w:color="auto" w:fill="auto"/>
          </w:tcPr>
          <w:p w14:paraId="3BAB2879" w14:textId="77777777" w:rsidR="00374816" w:rsidRPr="007D4DDF" w:rsidRDefault="00374816" w:rsidP="00777703">
            <w:pPr>
              <w:spacing w:before="0" w:after="120" w:line="240" w:lineRule="auto"/>
              <w:rPr>
                <w:i/>
                <w:szCs w:val="24"/>
              </w:rPr>
            </w:pPr>
            <w:r w:rsidRPr="007D4DDF">
              <w:rPr>
                <w:szCs w:val="24"/>
              </w:rPr>
              <w:t>Legal</w:t>
            </w:r>
          </w:p>
        </w:tc>
        <w:tc>
          <w:tcPr>
            <w:tcW w:w="2754" w:type="dxa"/>
            <w:shd w:val="clear" w:color="auto" w:fill="auto"/>
          </w:tcPr>
          <w:p w14:paraId="303C7869" w14:textId="77777777" w:rsidR="00374816" w:rsidRPr="007D4DDF" w:rsidRDefault="00374816" w:rsidP="00777703">
            <w:pPr>
              <w:spacing w:before="0" w:after="120" w:line="240" w:lineRule="auto"/>
              <w:rPr>
                <w:i/>
                <w:szCs w:val="24"/>
              </w:rPr>
            </w:pPr>
            <w:r w:rsidRPr="007D4DDF">
              <w:rPr>
                <w:szCs w:val="24"/>
              </w:rPr>
              <w:t>Illegal</w:t>
            </w:r>
          </w:p>
        </w:tc>
      </w:tr>
      <w:tr w:rsidR="00374816" w:rsidRPr="007D4DDF" w14:paraId="7C4444D3" w14:textId="77777777" w:rsidTr="00F83C0F">
        <w:trPr>
          <w:cantSplit/>
        </w:trPr>
        <w:tc>
          <w:tcPr>
            <w:tcW w:w="3402" w:type="dxa"/>
            <w:shd w:val="clear" w:color="auto" w:fill="auto"/>
          </w:tcPr>
          <w:p w14:paraId="3A0AC4AA" w14:textId="77777777" w:rsidR="00A30391" w:rsidRPr="007D4DDF" w:rsidRDefault="00374816" w:rsidP="00395E14">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szCs w:val="24"/>
              </w:rPr>
            </w:pPr>
            <w:r w:rsidRPr="007D4DDF">
              <w:rPr>
                <w:szCs w:val="24"/>
              </w:rPr>
              <w:t>Phase 1. Pre-court from formal instr</w:t>
            </w:r>
            <w:r w:rsidR="00697DD0" w:rsidRPr="007D4DDF">
              <w:rPr>
                <w:szCs w:val="24"/>
              </w:rPr>
              <w:t>uction to leave</w:t>
            </w:r>
          </w:p>
          <w:p w14:paraId="4A278FC4" w14:textId="77777777" w:rsidR="00697DD0" w:rsidRPr="007D4DDF" w:rsidRDefault="00374816" w:rsidP="00777703">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szCs w:val="24"/>
              </w:rPr>
            </w:pPr>
            <w:r w:rsidRPr="007D4DDF">
              <w:rPr>
                <w:szCs w:val="24"/>
              </w:rPr>
              <w:t>Phase 2. Court proceed</w:t>
            </w:r>
            <w:r w:rsidR="00697DD0" w:rsidRPr="007D4DDF">
              <w:rPr>
                <w:szCs w:val="24"/>
              </w:rPr>
              <w:t>ings to eviction order</w:t>
            </w:r>
          </w:p>
          <w:p w14:paraId="6AC31C28" w14:textId="77777777" w:rsidR="00374816" w:rsidRPr="007D4DDF" w:rsidRDefault="00697DD0" w:rsidP="00777703">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szCs w:val="24"/>
              </w:rPr>
            </w:pPr>
            <w:r w:rsidRPr="007D4DDF">
              <w:rPr>
                <w:szCs w:val="24"/>
              </w:rPr>
              <w:t>Phase 3. Execution of eviction/possession order</w:t>
            </w:r>
          </w:p>
        </w:tc>
        <w:tc>
          <w:tcPr>
            <w:tcW w:w="2252" w:type="dxa"/>
            <w:shd w:val="clear" w:color="auto" w:fill="auto"/>
          </w:tcPr>
          <w:p w14:paraId="5A1C0F15" w14:textId="77777777" w:rsidR="00374816" w:rsidRPr="007D4DDF" w:rsidRDefault="0078037B" w:rsidP="00777703">
            <w:pPr>
              <w:spacing w:before="0" w:after="120" w:line="240" w:lineRule="auto"/>
              <w:rPr>
                <w:szCs w:val="24"/>
              </w:rPr>
            </w:pPr>
            <w:r w:rsidRPr="007D4DDF">
              <w:rPr>
                <w:szCs w:val="24"/>
              </w:rPr>
              <w:t>N</w:t>
            </w:r>
            <w:r w:rsidR="00374816" w:rsidRPr="007D4DDF">
              <w:rPr>
                <w:szCs w:val="24"/>
              </w:rPr>
              <w:t>otaries/</w:t>
            </w:r>
            <w:r w:rsidR="002C6BDF" w:rsidRPr="007D4DDF">
              <w:rPr>
                <w:szCs w:val="24"/>
              </w:rPr>
              <w:t xml:space="preserve"> </w:t>
            </w:r>
            <w:r w:rsidRPr="007D4DDF">
              <w:rPr>
                <w:szCs w:val="24"/>
              </w:rPr>
              <w:t>A</w:t>
            </w:r>
            <w:r w:rsidR="00374816" w:rsidRPr="007D4DDF">
              <w:rPr>
                <w:szCs w:val="24"/>
              </w:rPr>
              <w:t xml:space="preserve">dministrations/ </w:t>
            </w:r>
            <w:r w:rsidRPr="007D4DDF">
              <w:rPr>
                <w:szCs w:val="24"/>
              </w:rPr>
              <w:t>P</w:t>
            </w:r>
            <w:r w:rsidR="00374816" w:rsidRPr="007D4DDF">
              <w:rPr>
                <w:szCs w:val="24"/>
              </w:rPr>
              <w:t>olice/</w:t>
            </w:r>
            <w:r w:rsidRPr="007D4DDF">
              <w:rPr>
                <w:szCs w:val="24"/>
              </w:rPr>
              <w:t>A</w:t>
            </w:r>
            <w:r w:rsidR="00374816" w:rsidRPr="007D4DDF">
              <w:rPr>
                <w:szCs w:val="24"/>
              </w:rPr>
              <w:t xml:space="preserve">uction </w:t>
            </w:r>
            <w:r w:rsidRPr="007D4DDF">
              <w:rPr>
                <w:szCs w:val="24"/>
              </w:rPr>
              <w:t>H</w:t>
            </w:r>
            <w:r w:rsidR="00374816" w:rsidRPr="007D4DDF">
              <w:rPr>
                <w:szCs w:val="24"/>
              </w:rPr>
              <w:t>ouses</w:t>
            </w:r>
          </w:p>
        </w:tc>
        <w:tc>
          <w:tcPr>
            <w:tcW w:w="2754" w:type="dxa"/>
            <w:shd w:val="clear" w:color="auto" w:fill="auto"/>
          </w:tcPr>
          <w:p w14:paraId="017B8FB2" w14:textId="77777777" w:rsidR="00374816" w:rsidRPr="007D4DDF" w:rsidRDefault="00374816" w:rsidP="00777703">
            <w:pPr>
              <w:spacing w:before="0" w:after="120" w:line="240" w:lineRule="auto"/>
              <w:rPr>
                <w:szCs w:val="24"/>
              </w:rPr>
            </w:pPr>
            <w:r w:rsidRPr="007D4DDF">
              <w:rPr>
                <w:szCs w:val="24"/>
              </w:rPr>
              <w:t>Usually li</w:t>
            </w:r>
            <w:r w:rsidR="00B46BAE" w:rsidRPr="007D4DDF">
              <w:rPr>
                <w:szCs w:val="24"/>
              </w:rPr>
              <w:t xml:space="preserve">nked to housing shadow </w:t>
            </w:r>
            <w:r w:rsidRPr="007D4DDF">
              <w:rPr>
                <w:szCs w:val="24"/>
              </w:rPr>
              <w:t xml:space="preserve">market (often use or threat of force, bullying, cutting off </w:t>
            </w:r>
            <w:r w:rsidR="004F4225" w:rsidRPr="007D4DDF">
              <w:rPr>
                <w:szCs w:val="24"/>
              </w:rPr>
              <w:t xml:space="preserve">of </w:t>
            </w:r>
            <w:r w:rsidRPr="007D4DDF">
              <w:rPr>
                <w:szCs w:val="24"/>
              </w:rPr>
              <w:t>utilities, etc</w:t>
            </w:r>
            <w:r w:rsidR="008D20C6" w:rsidRPr="007D4DDF">
              <w:rPr>
                <w:szCs w:val="24"/>
              </w:rPr>
              <w:t>)</w:t>
            </w:r>
          </w:p>
        </w:tc>
      </w:tr>
    </w:tbl>
    <w:p w14:paraId="62115673" w14:textId="77777777" w:rsidR="00AF3ACC" w:rsidRDefault="00AF3ACC" w:rsidP="00777703">
      <w:pPr>
        <w:pStyle w:val="normal12"/>
        <w:suppressAutoHyphens/>
        <w:spacing w:before="0" w:line="240" w:lineRule="auto"/>
        <w:jc w:val="left"/>
        <w:rPr>
          <w:rFonts w:ascii="Times New Roman" w:hAnsi="Times New Roman"/>
          <w:color w:val="000000"/>
        </w:rPr>
      </w:pPr>
    </w:p>
    <w:p w14:paraId="4E2E72A3" w14:textId="720D7D56" w:rsidR="00F74A5E" w:rsidRDefault="00F74A5E" w:rsidP="008B1CB3">
      <w:pPr>
        <w:pStyle w:val="normal12"/>
        <w:suppressAutoHyphens/>
        <w:spacing w:before="0" w:after="0" w:line="240" w:lineRule="auto"/>
        <w:jc w:val="left"/>
        <w:rPr>
          <w:rFonts w:ascii="Times New Roman" w:hAnsi="Times New Roman"/>
          <w:color w:val="000000"/>
        </w:rPr>
      </w:pPr>
      <w:r w:rsidRPr="007D4DDF">
        <w:rPr>
          <w:rFonts w:ascii="Times New Roman" w:hAnsi="Times New Roman"/>
          <w:color w:val="000000"/>
        </w:rPr>
        <w:t xml:space="preserve">In this context, it is widely accepted that officially recorded numbers of evictions do not reflect the full extent of evictions, as those at risk or issued with notices to leave may leave their home or indeed move at any stage of the </w:t>
      </w:r>
      <w:r w:rsidR="009753E1" w:rsidRPr="007D4DDF">
        <w:rPr>
          <w:rFonts w:ascii="Times New Roman" w:hAnsi="Times New Roman"/>
          <w:color w:val="000000"/>
        </w:rPr>
        <w:t xml:space="preserve">eviction </w:t>
      </w:r>
      <w:r w:rsidRPr="007D4DDF">
        <w:rPr>
          <w:rFonts w:ascii="Times New Roman" w:hAnsi="Times New Roman"/>
          <w:color w:val="000000"/>
        </w:rPr>
        <w:t>process.</w:t>
      </w:r>
      <w:r w:rsidRPr="007D4DDF">
        <w:rPr>
          <w:rStyle w:val="FootnoteReference"/>
          <w:rFonts w:ascii="Times New Roman" w:hAnsi="Times New Roman"/>
          <w:color w:val="000000"/>
        </w:rPr>
        <w:footnoteReference w:id="27"/>
      </w:r>
      <w:r w:rsidRPr="007D4DDF">
        <w:rPr>
          <w:rFonts w:ascii="Times New Roman" w:hAnsi="Times New Roman"/>
          <w:color w:val="000000"/>
        </w:rPr>
        <w:t xml:space="preserve"> For instance, in Ireland</w:t>
      </w:r>
      <w:r w:rsidR="00962C31" w:rsidRPr="007D4DDF">
        <w:rPr>
          <w:rFonts w:ascii="Times New Roman" w:hAnsi="Times New Roman"/>
          <w:color w:val="000000"/>
        </w:rPr>
        <w:t>,</w:t>
      </w:r>
      <w:r w:rsidRPr="007D4DDF">
        <w:rPr>
          <w:rFonts w:ascii="Times New Roman" w:hAnsi="Times New Roman"/>
          <w:color w:val="000000"/>
        </w:rPr>
        <w:t xml:space="preserve"> two-thirds of mortgaged homes repossessed</w:t>
      </w:r>
      <w:r w:rsidR="00962C31" w:rsidRPr="007D4DDF">
        <w:rPr>
          <w:rFonts w:ascii="Times New Roman" w:hAnsi="Times New Roman"/>
          <w:color w:val="000000"/>
        </w:rPr>
        <w:t xml:space="preserve"> </w:t>
      </w:r>
      <w:r w:rsidRPr="007D4DDF">
        <w:rPr>
          <w:rFonts w:ascii="Times New Roman" w:hAnsi="Times New Roman"/>
          <w:color w:val="000000"/>
        </w:rPr>
        <w:t xml:space="preserve">by </w:t>
      </w:r>
      <w:r w:rsidRPr="007D4DDF">
        <w:rPr>
          <w:rFonts w:ascii="Times New Roman" w:hAnsi="Times New Roman"/>
          <w:color w:val="1A1A1A"/>
        </w:rPr>
        <w:t>lenders between 2009 and 2016</w:t>
      </w:r>
      <w:r w:rsidR="00962C31" w:rsidRPr="007D4DDF">
        <w:rPr>
          <w:rFonts w:ascii="Times New Roman" w:hAnsi="Times New Roman"/>
          <w:color w:val="1A1A1A"/>
        </w:rPr>
        <w:t>,</w:t>
      </w:r>
      <w:r w:rsidRPr="007D4DDF">
        <w:rPr>
          <w:rFonts w:ascii="Times New Roman" w:hAnsi="Times New Roman"/>
          <w:color w:val="1A1A1A"/>
        </w:rPr>
        <w:t xml:space="preserve"> were voluntarily surrendered or abandoned.</w:t>
      </w:r>
      <w:r w:rsidRPr="007D4DDF">
        <w:rPr>
          <w:rStyle w:val="FootnoteReference"/>
          <w:rFonts w:ascii="Times New Roman" w:hAnsi="Times New Roman"/>
          <w:color w:val="1A1A1A"/>
        </w:rPr>
        <w:footnoteReference w:id="28"/>
      </w:r>
      <w:r w:rsidRPr="007D4DDF">
        <w:rPr>
          <w:rFonts w:ascii="Times New Roman" w:hAnsi="Times New Roman"/>
          <w:color w:val="000000"/>
        </w:rPr>
        <w:t xml:space="preserve"> The </w:t>
      </w:r>
      <w:r w:rsidRPr="007D4DDF">
        <w:rPr>
          <w:rFonts w:ascii="Times New Roman" w:hAnsi="Times New Roman"/>
        </w:rPr>
        <w:t>EU Pilot Project Report on evictions found that in some countries, seven times more households</w:t>
      </w:r>
      <w:r w:rsidR="00050FEE" w:rsidRPr="007D4DDF">
        <w:rPr>
          <w:rFonts w:ascii="Times New Roman" w:hAnsi="Times New Roman"/>
        </w:rPr>
        <w:t xml:space="preserve"> </w:t>
      </w:r>
      <w:r w:rsidRPr="007D4DDF">
        <w:rPr>
          <w:rFonts w:ascii="Times New Roman" w:hAnsi="Times New Roman"/>
        </w:rPr>
        <w:t>had eviction proceedings initiated against them than were actually physically evicted.</w:t>
      </w:r>
      <w:r w:rsidRPr="007D4DDF">
        <w:rPr>
          <w:rStyle w:val="FootnoteReference"/>
          <w:rFonts w:ascii="Times New Roman" w:hAnsi="Times New Roman"/>
        </w:rPr>
        <w:footnoteReference w:id="29"/>
      </w:r>
      <w:r w:rsidRPr="007D4DDF">
        <w:rPr>
          <w:rFonts w:ascii="Times New Roman" w:hAnsi="Times New Roman"/>
        </w:rPr>
        <w:t xml:space="preserve"> </w:t>
      </w:r>
      <w:r w:rsidRPr="007D4DDF">
        <w:rPr>
          <w:rFonts w:ascii="Times New Roman" w:hAnsi="Times New Roman"/>
          <w:color w:val="000000"/>
        </w:rPr>
        <w:t>Thus, actual evictions may not involve court appearances, or physical removal, but are involuntary or forced surrenders of rights of occupation.</w:t>
      </w:r>
    </w:p>
    <w:p w14:paraId="0A8E4841" w14:textId="77777777" w:rsidR="008B1CB3" w:rsidRPr="007D4DDF" w:rsidRDefault="008B1CB3" w:rsidP="008B1CB3">
      <w:pPr>
        <w:pStyle w:val="normal12"/>
        <w:suppressAutoHyphens/>
        <w:spacing w:before="0" w:after="0" w:line="240" w:lineRule="auto"/>
        <w:jc w:val="left"/>
        <w:rPr>
          <w:rFonts w:ascii="Times New Roman" w:hAnsi="Times New Roman"/>
          <w:color w:val="000000"/>
        </w:rPr>
      </w:pPr>
    </w:p>
    <w:p w14:paraId="66F0B087" w14:textId="6E1E7AB1" w:rsidR="006E160F" w:rsidRDefault="00F74A5E" w:rsidP="008B1CB3">
      <w:pPr>
        <w:spacing w:before="0" w:after="0" w:line="240" w:lineRule="auto"/>
        <w:rPr>
          <w:rFonts w:eastAsia="MS Mincho"/>
          <w:szCs w:val="24"/>
          <w:lang w:eastAsia="ja-JP"/>
        </w:rPr>
      </w:pPr>
      <w:r w:rsidRPr="007D4DDF">
        <w:rPr>
          <w:rFonts w:eastAsia="MS Mincho"/>
          <w:szCs w:val="24"/>
          <w:lang w:eastAsia="ja-JP"/>
        </w:rPr>
        <w:t xml:space="preserve">A </w:t>
      </w:r>
      <w:r w:rsidR="00206662" w:rsidRPr="007D4DDF">
        <w:rPr>
          <w:rFonts w:eastAsia="MS Mincho"/>
          <w:szCs w:val="24"/>
          <w:lang w:eastAsia="ja-JP"/>
        </w:rPr>
        <w:t>‘</w:t>
      </w:r>
      <w:r w:rsidRPr="007D4DDF">
        <w:rPr>
          <w:rFonts w:eastAsia="MS Mincho"/>
          <w:szCs w:val="24"/>
          <w:lang w:eastAsia="ja-JP"/>
        </w:rPr>
        <w:t>forced</w:t>
      </w:r>
      <w:r w:rsidR="00206662" w:rsidRPr="007D4DDF">
        <w:rPr>
          <w:rFonts w:eastAsia="MS Mincho"/>
          <w:szCs w:val="24"/>
          <w:lang w:eastAsia="ja-JP"/>
        </w:rPr>
        <w:t>’</w:t>
      </w:r>
      <w:r w:rsidRPr="007D4DDF">
        <w:rPr>
          <w:rFonts w:eastAsia="MS Mincho"/>
          <w:szCs w:val="24"/>
          <w:lang w:eastAsia="ja-JP"/>
        </w:rPr>
        <w:t xml:space="preserve"> eviction is defined by the UN Committee on Economic, Social and Cultural Rights (UN CESCR) in their General Comment No 7 (1997)</w:t>
      </w:r>
      <w:r w:rsidR="00962C31" w:rsidRPr="007D4DDF">
        <w:rPr>
          <w:rFonts w:eastAsia="MS Mincho"/>
          <w:szCs w:val="24"/>
          <w:lang w:eastAsia="ja-JP"/>
        </w:rPr>
        <w:t xml:space="preserve"> </w:t>
      </w:r>
      <w:r w:rsidRPr="007D4DDF">
        <w:rPr>
          <w:rFonts w:eastAsia="MS Mincho"/>
          <w:szCs w:val="24"/>
          <w:lang w:eastAsia="ja-JP"/>
        </w:rPr>
        <w:t xml:space="preserve">on the right to adequate housing as </w:t>
      </w:r>
      <w:r w:rsidR="00A65FD4" w:rsidRPr="007D4DDF">
        <w:rPr>
          <w:rFonts w:eastAsia="MS Mincho"/>
          <w:szCs w:val="24"/>
          <w:lang w:eastAsia="ja-JP"/>
        </w:rPr>
        <w:t>‘</w:t>
      </w:r>
      <w:r w:rsidRPr="007D4DDF">
        <w:rPr>
          <w:rFonts w:eastAsia="MS Mincho"/>
          <w:szCs w:val="24"/>
          <w:lang w:eastAsia="ja-JP"/>
        </w:rPr>
        <w:t>the permanent or temporary removal against their will of individuals, families and/or communities from the homes and/or land which they occupy, without the provision of, and access to, appropriate forms of legal or other protection</w:t>
      </w:r>
      <w:r w:rsidR="00962C31" w:rsidRPr="007D4DDF">
        <w:rPr>
          <w:rFonts w:eastAsia="MS Mincho"/>
          <w:szCs w:val="24"/>
          <w:lang w:eastAsia="ja-JP"/>
        </w:rPr>
        <w:t>.</w:t>
      </w:r>
      <w:r w:rsidR="00A65FD4" w:rsidRPr="007D4DDF">
        <w:rPr>
          <w:rFonts w:eastAsia="MS Mincho"/>
          <w:szCs w:val="24"/>
          <w:lang w:eastAsia="ja-JP"/>
        </w:rPr>
        <w:t>’</w:t>
      </w:r>
      <w:r w:rsidR="00962C31" w:rsidRPr="007D4DDF">
        <w:rPr>
          <w:rStyle w:val="FootnoteReference"/>
          <w:rFonts w:eastAsia="MS Mincho"/>
          <w:szCs w:val="24"/>
          <w:lang w:eastAsia="ja-JP"/>
        </w:rPr>
        <w:footnoteReference w:id="30"/>
      </w:r>
      <w:r w:rsidR="00962C31" w:rsidRPr="007D4DDF">
        <w:rPr>
          <w:rFonts w:eastAsia="MS Mincho"/>
          <w:szCs w:val="24"/>
          <w:lang w:eastAsia="ja-JP"/>
        </w:rPr>
        <w:t xml:space="preserve"> </w:t>
      </w:r>
      <w:r w:rsidRPr="007D4DDF">
        <w:rPr>
          <w:rFonts w:eastAsia="MS Mincho"/>
          <w:szCs w:val="24"/>
          <w:lang w:eastAsia="ja-JP"/>
        </w:rPr>
        <w:t xml:space="preserve">Of course, </w:t>
      </w:r>
      <w:r w:rsidR="00D107C3">
        <w:rPr>
          <w:rFonts w:eastAsia="MS Mincho"/>
          <w:szCs w:val="24"/>
          <w:lang w:eastAsia="ja-JP"/>
        </w:rPr>
        <w:t xml:space="preserve">many </w:t>
      </w:r>
      <w:r w:rsidRPr="007D4DDF">
        <w:rPr>
          <w:rFonts w:eastAsia="MS Mincho"/>
          <w:szCs w:val="24"/>
          <w:lang w:eastAsia="ja-JP"/>
        </w:rPr>
        <w:t xml:space="preserve">evictions take place lawfully, with due process, and in conformity with international human rights norms and under judicial supervision. This can involve legally balancing property rights and human </w:t>
      </w:r>
      <w:r w:rsidR="00962C31" w:rsidRPr="007D4DDF">
        <w:rPr>
          <w:rFonts w:eastAsia="MS Mincho"/>
          <w:szCs w:val="24"/>
          <w:lang w:eastAsia="ja-JP"/>
        </w:rPr>
        <w:t>rights or</w:t>
      </w:r>
      <w:r w:rsidRPr="007D4DDF">
        <w:rPr>
          <w:rFonts w:eastAsia="MS Mincho"/>
          <w:szCs w:val="24"/>
          <w:lang w:eastAsia="ja-JP"/>
        </w:rPr>
        <w:t xml:space="preserve"> managing control and use of private and public spaces.</w:t>
      </w:r>
    </w:p>
    <w:p w14:paraId="2255BA02" w14:textId="77777777" w:rsidR="006E160F" w:rsidRDefault="006E160F">
      <w:pPr>
        <w:spacing w:before="0" w:after="0" w:line="240" w:lineRule="auto"/>
        <w:rPr>
          <w:rFonts w:eastAsia="MS Mincho"/>
          <w:szCs w:val="24"/>
          <w:lang w:eastAsia="ja-JP"/>
        </w:rPr>
      </w:pPr>
      <w:r>
        <w:rPr>
          <w:rFonts w:eastAsia="MS Mincho"/>
          <w:szCs w:val="24"/>
          <w:lang w:eastAsia="ja-JP"/>
        </w:rPr>
        <w:br w:type="page"/>
      </w:r>
    </w:p>
    <w:p w14:paraId="370C01A2" w14:textId="6A76EB5C" w:rsidR="001A4592" w:rsidRPr="008B1CB3" w:rsidRDefault="00495EF7" w:rsidP="008B1CB3">
      <w:pPr>
        <w:rPr>
          <w:b/>
          <w:bCs/>
          <w:sz w:val="28"/>
          <w:szCs w:val="28"/>
        </w:rPr>
      </w:pPr>
      <w:bookmarkStart w:id="3" w:name="_Toc508191191"/>
      <w:r w:rsidRPr="008B1CB3">
        <w:rPr>
          <w:b/>
          <w:bCs/>
          <w:sz w:val="28"/>
          <w:szCs w:val="28"/>
        </w:rPr>
        <w:lastRenderedPageBreak/>
        <w:t>2</w:t>
      </w:r>
      <w:r w:rsidR="00395E14" w:rsidRPr="008B1CB3">
        <w:rPr>
          <w:b/>
          <w:bCs/>
          <w:sz w:val="28"/>
          <w:szCs w:val="28"/>
        </w:rPr>
        <w:t>.</w:t>
      </w:r>
      <w:r w:rsidR="00A17904" w:rsidRPr="008B1CB3">
        <w:rPr>
          <w:b/>
          <w:bCs/>
          <w:sz w:val="28"/>
          <w:szCs w:val="28"/>
        </w:rPr>
        <w:t xml:space="preserve"> </w:t>
      </w:r>
      <w:r w:rsidR="00A70146" w:rsidRPr="008B1CB3">
        <w:rPr>
          <w:b/>
          <w:bCs/>
          <w:sz w:val="28"/>
          <w:szCs w:val="28"/>
        </w:rPr>
        <w:t>S</w:t>
      </w:r>
      <w:r w:rsidR="005C7A57" w:rsidRPr="008B1CB3">
        <w:rPr>
          <w:b/>
          <w:bCs/>
          <w:sz w:val="28"/>
          <w:szCs w:val="28"/>
        </w:rPr>
        <w:t>OCIAL CONTEXT</w:t>
      </w:r>
      <w:bookmarkEnd w:id="3"/>
    </w:p>
    <w:p w14:paraId="62A76F74" w14:textId="604B9F29" w:rsidR="001A4592" w:rsidRDefault="004A36A0" w:rsidP="00777703">
      <w:pPr>
        <w:pStyle w:val="Heading2"/>
        <w:spacing w:before="0" w:after="120" w:line="240" w:lineRule="auto"/>
        <w:ind w:left="1134" w:hanging="1134"/>
        <w:rPr>
          <w:rFonts w:ascii="Times New Roman" w:hAnsi="Times New Roman"/>
        </w:rPr>
      </w:pPr>
      <w:bookmarkStart w:id="4" w:name="_Toc508191192"/>
      <w:r w:rsidRPr="007D4DDF">
        <w:rPr>
          <w:rFonts w:ascii="Times New Roman" w:hAnsi="Times New Roman"/>
        </w:rPr>
        <w:t>2.1</w:t>
      </w:r>
      <w:r w:rsidR="006E160F">
        <w:rPr>
          <w:rFonts w:ascii="Times New Roman" w:hAnsi="Times New Roman"/>
        </w:rPr>
        <w:t>.</w:t>
      </w:r>
      <w:r w:rsidR="00A17904">
        <w:rPr>
          <w:rFonts w:ascii="Times New Roman" w:hAnsi="Times New Roman"/>
        </w:rPr>
        <w:t xml:space="preserve"> </w:t>
      </w:r>
      <w:r w:rsidR="00691151" w:rsidRPr="007D4DDF">
        <w:rPr>
          <w:rFonts w:ascii="Times New Roman" w:hAnsi="Times New Roman"/>
        </w:rPr>
        <w:t xml:space="preserve">Prevention and </w:t>
      </w:r>
      <w:r w:rsidR="00B72C04" w:rsidRPr="007D4DDF">
        <w:rPr>
          <w:rFonts w:ascii="Times New Roman" w:hAnsi="Times New Roman"/>
        </w:rPr>
        <w:t>R</w:t>
      </w:r>
      <w:r w:rsidR="008D20C6" w:rsidRPr="007D4DDF">
        <w:rPr>
          <w:rFonts w:ascii="Times New Roman" w:hAnsi="Times New Roman"/>
        </w:rPr>
        <w:t xml:space="preserve">isk of </w:t>
      </w:r>
      <w:r w:rsidR="00B72C04" w:rsidRPr="007D4DDF">
        <w:rPr>
          <w:rFonts w:ascii="Times New Roman" w:hAnsi="Times New Roman"/>
        </w:rPr>
        <w:t>E</w:t>
      </w:r>
      <w:r w:rsidR="008D20C6" w:rsidRPr="007D4DDF">
        <w:rPr>
          <w:rFonts w:ascii="Times New Roman" w:hAnsi="Times New Roman"/>
        </w:rPr>
        <w:t>victions</w:t>
      </w:r>
      <w:bookmarkEnd w:id="4"/>
    </w:p>
    <w:p w14:paraId="4C6B998B" w14:textId="77777777" w:rsidR="001A4592" w:rsidRPr="007D4DDF" w:rsidRDefault="00691151" w:rsidP="00395E14">
      <w:pPr>
        <w:spacing w:before="0" w:after="120" w:line="240" w:lineRule="auto"/>
        <w:rPr>
          <w:szCs w:val="24"/>
          <w:lang w:eastAsia="en-US"/>
        </w:rPr>
      </w:pPr>
      <w:r w:rsidRPr="007D4DDF">
        <w:rPr>
          <w:szCs w:val="24"/>
          <w:lang w:eastAsia="en-US"/>
        </w:rPr>
        <w:t xml:space="preserve">Most European welfare </w:t>
      </w:r>
      <w:r w:rsidR="006771D4" w:rsidRPr="007D4DDF">
        <w:rPr>
          <w:szCs w:val="24"/>
          <w:lang w:eastAsia="en-US"/>
        </w:rPr>
        <w:t>s</w:t>
      </w:r>
      <w:r w:rsidRPr="007D4DDF">
        <w:rPr>
          <w:szCs w:val="24"/>
          <w:lang w:eastAsia="en-US"/>
        </w:rPr>
        <w:t xml:space="preserve">tate </w:t>
      </w:r>
      <w:r w:rsidR="00D06BC2" w:rsidRPr="007D4DDF">
        <w:rPr>
          <w:szCs w:val="24"/>
          <w:lang w:eastAsia="en-US"/>
        </w:rPr>
        <w:t xml:space="preserve">systems </w:t>
      </w:r>
      <w:r w:rsidRPr="007D4DDF">
        <w:rPr>
          <w:szCs w:val="24"/>
          <w:lang w:eastAsia="en-US"/>
        </w:rPr>
        <w:t xml:space="preserve">seek to mitigate the </w:t>
      </w:r>
      <w:r w:rsidR="000A54C1" w:rsidRPr="007D4DDF">
        <w:rPr>
          <w:szCs w:val="24"/>
          <w:lang w:eastAsia="en-US"/>
        </w:rPr>
        <w:t xml:space="preserve">personal and </w:t>
      </w:r>
      <w:r w:rsidRPr="007D4DDF">
        <w:rPr>
          <w:szCs w:val="24"/>
          <w:lang w:eastAsia="en-US"/>
        </w:rPr>
        <w:t>social costs of evictions</w:t>
      </w:r>
      <w:r w:rsidR="000A54C1" w:rsidRPr="007D4DDF">
        <w:rPr>
          <w:szCs w:val="24"/>
          <w:lang w:eastAsia="en-US"/>
        </w:rPr>
        <w:t xml:space="preserve">. A variety of </w:t>
      </w:r>
      <w:r w:rsidRPr="007D4DDF">
        <w:rPr>
          <w:szCs w:val="24"/>
          <w:lang w:eastAsia="en-US"/>
        </w:rPr>
        <w:t xml:space="preserve">social inclusionary countermeasures, remedial services </w:t>
      </w:r>
      <w:r w:rsidR="008B5C8C" w:rsidRPr="007D4DDF">
        <w:rPr>
          <w:szCs w:val="24"/>
          <w:lang w:eastAsia="en-US"/>
        </w:rPr>
        <w:t xml:space="preserve">for </w:t>
      </w:r>
      <w:r w:rsidRPr="007D4DDF">
        <w:rPr>
          <w:szCs w:val="24"/>
          <w:lang w:eastAsia="en-US"/>
        </w:rPr>
        <w:t>victims,</w:t>
      </w:r>
      <w:r w:rsidR="00D06BC2" w:rsidRPr="007D4DDF">
        <w:rPr>
          <w:szCs w:val="24"/>
          <w:lang w:eastAsia="en-US"/>
        </w:rPr>
        <w:t xml:space="preserve"> and </w:t>
      </w:r>
      <w:r w:rsidR="000A54C1" w:rsidRPr="007D4DDF">
        <w:rPr>
          <w:szCs w:val="24"/>
          <w:lang w:eastAsia="en-US"/>
        </w:rPr>
        <w:t xml:space="preserve">other </w:t>
      </w:r>
      <w:r w:rsidR="00D06BC2" w:rsidRPr="007D4DDF">
        <w:rPr>
          <w:szCs w:val="24"/>
          <w:lang w:eastAsia="en-US"/>
        </w:rPr>
        <w:t>mea</w:t>
      </w:r>
      <w:r w:rsidRPr="007D4DDF">
        <w:rPr>
          <w:szCs w:val="24"/>
          <w:lang w:eastAsia="en-US"/>
        </w:rPr>
        <w:t>sures</w:t>
      </w:r>
      <w:r w:rsidR="000A54C1" w:rsidRPr="007D4DDF">
        <w:rPr>
          <w:szCs w:val="24"/>
          <w:lang w:eastAsia="en-US"/>
        </w:rPr>
        <w:t>, act to</w:t>
      </w:r>
      <w:r w:rsidRPr="007D4DDF">
        <w:rPr>
          <w:szCs w:val="24"/>
          <w:lang w:eastAsia="en-US"/>
        </w:rPr>
        <w:t xml:space="preserve"> prevent or delay evictions. </w:t>
      </w:r>
    </w:p>
    <w:p w14:paraId="56EE529F" w14:textId="77777777" w:rsidR="001A4592" w:rsidRPr="007D4DDF" w:rsidRDefault="00691151" w:rsidP="00777703">
      <w:pPr>
        <w:widowControl w:val="0"/>
        <w:autoSpaceDE w:val="0"/>
        <w:autoSpaceDN w:val="0"/>
        <w:adjustRightInd w:val="0"/>
        <w:spacing w:before="0" w:after="120" w:line="240" w:lineRule="auto"/>
        <w:rPr>
          <w:b/>
          <w:szCs w:val="24"/>
        </w:rPr>
      </w:pPr>
      <w:r w:rsidRPr="007D4DDF">
        <w:rPr>
          <w:color w:val="000000"/>
          <w:szCs w:val="24"/>
        </w:rPr>
        <w:t>Clearly, most evictions arise from loss of income, poverty, over-indebtedness and other economic issues.</w:t>
      </w:r>
      <w:r w:rsidRPr="007D4DDF">
        <w:rPr>
          <w:rStyle w:val="FootnoteReference"/>
          <w:color w:val="000000"/>
          <w:szCs w:val="24"/>
        </w:rPr>
        <w:footnoteReference w:id="31"/>
      </w:r>
      <w:r w:rsidRPr="007D4DDF">
        <w:rPr>
          <w:color w:val="000000"/>
          <w:szCs w:val="24"/>
        </w:rPr>
        <w:t xml:space="preserve"> </w:t>
      </w:r>
      <w:r w:rsidR="00D107C3">
        <w:rPr>
          <w:color w:val="000000"/>
          <w:szCs w:val="24"/>
        </w:rPr>
        <w:t>P</w:t>
      </w:r>
      <w:r w:rsidR="00C8537A" w:rsidRPr="007D4DDF">
        <w:rPr>
          <w:szCs w:val="24"/>
          <w:lang w:eastAsia="en-US"/>
        </w:rPr>
        <w:t>eople threatened by eviction are typically weak actors: many do not apply for assistance and are unable to defend their rights by themselves.</w:t>
      </w:r>
      <w:r w:rsidR="00C8537A" w:rsidRPr="007D4DDF">
        <w:rPr>
          <w:rStyle w:val="FootnoteReference"/>
          <w:szCs w:val="24"/>
          <w:lang w:eastAsia="en-US"/>
        </w:rPr>
        <w:footnoteReference w:id="32"/>
      </w:r>
      <w:r w:rsidR="00C8537A" w:rsidRPr="007D4DDF">
        <w:rPr>
          <w:szCs w:val="24"/>
          <w:lang w:eastAsia="en-US"/>
        </w:rPr>
        <w:t xml:space="preserve"> </w:t>
      </w:r>
      <w:r w:rsidR="00D06BC2" w:rsidRPr="007D4DDF">
        <w:rPr>
          <w:color w:val="000000"/>
          <w:szCs w:val="24"/>
        </w:rPr>
        <w:t xml:space="preserve">Yet, there are differences in the prevalence of evictions between </w:t>
      </w:r>
      <w:r w:rsidR="008B5C8C" w:rsidRPr="007D4DDF">
        <w:rPr>
          <w:color w:val="000000"/>
          <w:szCs w:val="24"/>
        </w:rPr>
        <w:t xml:space="preserve">types of </w:t>
      </w:r>
      <w:r w:rsidR="00D06BC2" w:rsidRPr="007D4DDF">
        <w:rPr>
          <w:color w:val="000000"/>
          <w:szCs w:val="24"/>
        </w:rPr>
        <w:t xml:space="preserve">tenure. Eviction for mortgage arrears </w:t>
      </w:r>
      <w:r w:rsidR="00A2655D" w:rsidRPr="007D4DDF">
        <w:rPr>
          <w:color w:val="000000"/>
          <w:szCs w:val="24"/>
        </w:rPr>
        <w:t xml:space="preserve">is </w:t>
      </w:r>
      <w:r w:rsidR="00D06BC2" w:rsidRPr="007D4DDF">
        <w:rPr>
          <w:color w:val="000000"/>
          <w:szCs w:val="24"/>
        </w:rPr>
        <w:t>more common in some c</w:t>
      </w:r>
      <w:r w:rsidR="00EF7833" w:rsidRPr="007D4DDF">
        <w:rPr>
          <w:color w:val="000000"/>
          <w:szCs w:val="24"/>
        </w:rPr>
        <w:t>ountries</w:t>
      </w:r>
      <w:r w:rsidR="00D06BC2" w:rsidRPr="007D4DDF">
        <w:rPr>
          <w:color w:val="000000"/>
          <w:szCs w:val="24"/>
        </w:rPr>
        <w:t xml:space="preserve">, and </w:t>
      </w:r>
      <w:r w:rsidR="000E6692" w:rsidRPr="007D4DDF">
        <w:rPr>
          <w:color w:val="000000"/>
          <w:szCs w:val="24"/>
        </w:rPr>
        <w:t xml:space="preserve">eviction </w:t>
      </w:r>
      <w:r w:rsidR="00D06BC2" w:rsidRPr="007D4DDF">
        <w:rPr>
          <w:color w:val="000000"/>
          <w:szCs w:val="24"/>
        </w:rPr>
        <w:t>from tenancies in others, although there are some common causative factors.</w:t>
      </w:r>
      <w:r w:rsidR="009C5937" w:rsidRPr="007D4DDF">
        <w:rPr>
          <w:color w:val="000000"/>
          <w:szCs w:val="24"/>
        </w:rPr>
        <w:t xml:space="preserve"> </w:t>
      </w:r>
      <w:r w:rsidRPr="007D4DDF">
        <w:rPr>
          <w:rFonts w:eastAsia="MS Mincho"/>
          <w:szCs w:val="24"/>
          <w:lang w:eastAsia="ja-JP"/>
        </w:rPr>
        <w:t xml:space="preserve">Desmond and </w:t>
      </w:r>
      <w:proofErr w:type="spellStart"/>
      <w:r w:rsidRPr="007D4DDF">
        <w:rPr>
          <w:rFonts w:eastAsia="MS Mincho"/>
          <w:szCs w:val="24"/>
          <w:lang w:eastAsia="ja-JP"/>
        </w:rPr>
        <w:t>Gerhenson</w:t>
      </w:r>
      <w:proofErr w:type="spellEnd"/>
      <w:r w:rsidRPr="007D4DDF">
        <w:rPr>
          <w:rFonts w:eastAsia="MS Mincho"/>
          <w:szCs w:val="24"/>
          <w:lang w:eastAsia="ja-JP"/>
        </w:rPr>
        <w:t>, in a dataset of Milwaukee renters, empirically evaluated several potential mechanisms for understanding disparities in eviction among renting families</w:t>
      </w:r>
      <w:r w:rsidR="00C8537A" w:rsidRPr="007D4DDF">
        <w:rPr>
          <w:rFonts w:eastAsia="MS Mincho"/>
          <w:szCs w:val="24"/>
          <w:lang w:eastAsia="ja-JP"/>
        </w:rPr>
        <w:t>. Th</w:t>
      </w:r>
      <w:r w:rsidR="000E6692" w:rsidRPr="007D4DDF">
        <w:rPr>
          <w:rFonts w:eastAsia="MS Mincho"/>
          <w:szCs w:val="24"/>
          <w:lang w:eastAsia="ja-JP"/>
        </w:rPr>
        <w:t>ese included</w:t>
      </w:r>
      <w:r w:rsidRPr="007D4DDF">
        <w:rPr>
          <w:rFonts w:eastAsia="MS Mincho"/>
          <w:szCs w:val="24"/>
          <w:lang w:eastAsia="ja-JP"/>
        </w:rPr>
        <w:t>: discrimination (individual demographics); life shocks such as job loss or relationship dissolution (individual misfortunes); gentrification and concentrated disadvantage (neighbo</w:t>
      </w:r>
      <w:r w:rsidR="006771D4" w:rsidRPr="007D4DDF">
        <w:rPr>
          <w:rFonts w:eastAsia="MS Mincho"/>
          <w:szCs w:val="24"/>
          <w:lang w:eastAsia="ja-JP"/>
        </w:rPr>
        <w:t>urhood</w:t>
      </w:r>
      <w:r w:rsidRPr="007D4DDF">
        <w:rPr>
          <w:rFonts w:eastAsia="MS Mincho"/>
          <w:szCs w:val="24"/>
          <w:lang w:eastAsia="ja-JP"/>
        </w:rPr>
        <w:t xml:space="preserve"> characteristics); and social isolation (network composition).</w:t>
      </w:r>
      <w:r w:rsidRPr="007D4DDF">
        <w:rPr>
          <w:rStyle w:val="FootnoteReference"/>
          <w:rFonts w:eastAsia="MS Mincho"/>
          <w:szCs w:val="24"/>
          <w:lang w:eastAsia="ja-JP"/>
        </w:rPr>
        <w:footnoteReference w:id="33"/>
      </w:r>
    </w:p>
    <w:p w14:paraId="0FE47189" w14:textId="1DB02E13" w:rsidR="001A4592" w:rsidRPr="007D4DDF" w:rsidRDefault="00D06BC2"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In Europe, p</w:t>
      </w:r>
      <w:r w:rsidR="00691151" w:rsidRPr="007D4DDF">
        <w:rPr>
          <w:rFonts w:ascii="Times New Roman" w:hAnsi="Times New Roman"/>
          <w:color w:val="000000"/>
        </w:rPr>
        <w:t>ublic policy interventions to prevent/restrain evictions are often closely linked with anti-poverty, social inclusion and social policy measures. Of course, individual cases also reveal a complexity of human, financial, social, relational and health factors.</w:t>
      </w:r>
      <w:r w:rsidR="00691151" w:rsidRPr="007D4DDF">
        <w:rPr>
          <w:rStyle w:val="FootnoteReference"/>
          <w:rFonts w:ascii="Times New Roman" w:hAnsi="Times New Roman"/>
          <w:color w:val="000000"/>
        </w:rPr>
        <w:footnoteReference w:id="34"/>
      </w:r>
      <w:r w:rsidR="00691151" w:rsidRPr="007D4DDF">
        <w:rPr>
          <w:rFonts w:ascii="Times New Roman" w:hAnsi="Times New Roman"/>
          <w:color w:val="000000"/>
        </w:rPr>
        <w:t xml:space="preserve"> The risk of eviction is shaped by economic and social mechanisms that operate on structural, systemic, interpersonal and individual levels. Structural factors such as poverty, unemployment and lack of affordable housing interact with individual vulnerabilities such as low educational skills, psychosocial vulnerabilities, weak family ties and lack of social support networks in shaping the risk of eviction for the individual. These risks are mediated by systemic and institutional factors, such as the functioning of social welfare and protection systems and the legal standards and procedures regulating repossessions and evictions. The EU Pilot Project Report identified irresponsible mortgage lending, inadequate consumer protection and liberali</w:t>
      </w:r>
      <w:r w:rsidR="007D4DDF">
        <w:rPr>
          <w:rFonts w:ascii="Times New Roman" w:hAnsi="Times New Roman"/>
          <w:color w:val="000000"/>
        </w:rPr>
        <w:t>z</w:t>
      </w:r>
      <w:r w:rsidR="00691151" w:rsidRPr="007D4DDF">
        <w:rPr>
          <w:rFonts w:ascii="Times New Roman" w:hAnsi="Times New Roman"/>
          <w:color w:val="000000"/>
        </w:rPr>
        <w:t>ation of the private rented sector</w:t>
      </w:r>
      <w:r w:rsidR="000E6692" w:rsidRPr="007D4DDF">
        <w:rPr>
          <w:rFonts w:ascii="Times New Roman" w:hAnsi="Times New Roman"/>
          <w:color w:val="000000"/>
        </w:rPr>
        <w:t xml:space="preserve"> </w:t>
      </w:r>
      <w:r w:rsidR="00691151" w:rsidRPr="007D4DDF">
        <w:rPr>
          <w:rFonts w:ascii="Times New Roman" w:hAnsi="Times New Roman"/>
          <w:color w:val="000000"/>
        </w:rPr>
        <w:t xml:space="preserve">as factors which increase the risk of evictions. </w:t>
      </w:r>
      <w:r w:rsidR="00691151" w:rsidRPr="007D4DDF">
        <w:rPr>
          <w:rFonts w:ascii="Times New Roman" w:hAnsi="Times New Roman"/>
          <w:color w:val="000000"/>
        </w:rPr>
        <w:lastRenderedPageBreak/>
        <w:t xml:space="preserve">Table </w:t>
      </w:r>
      <w:r w:rsidR="00195307" w:rsidRPr="007D4DDF">
        <w:rPr>
          <w:rFonts w:ascii="Times New Roman" w:hAnsi="Times New Roman"/>
          <w:color w:val="000000"/>
        </w:rPr>
        <w:t>I</w:t>
      </w:r>
      <w:r w:rsidR="00691151" w:rsidRPr="007D4DDF">
        <w:rPr>
          <w:rFonts w:ascii="Times New Roman" w:hAnsi="Times New Roman"/>
          <w:color w:val="000000"/>
        </w:rPr>
        <w:t>.</w:t>
      </w:r>
      <w:r w:rsidR="006E160F">
        <w:rPr>
          <w:rFonts w:ascii="Times New Roman" w:hAnsi="Times New Roman"/>
          <w:color w:val="000000"/>
        </w:rPr>
        <w:t>2</w:t>
      </w:r>
      <w:r w:rsidR="00691151" w:rsidRPr="007D4DDF">
        <w:rPr>
          <w:rFonts w:ascii="Times New Roman" w:hAnsi="Times New Roman"/>
          <w:color w:val="000000"/>
        </w:rPr>
        <w:t xml:space="preserve"> shows a conceptual model of risk factors on the structural, systemic, interpersonal and individual levels.</w:t>
      </w:r>
    </w:p>
    <w:p w14:paraId="49E44B18" w14:textId="77777777" w:rsidR="00C8537A" w:rsidRPr="008B1CB3" w:rsidRDefault="00C8537A" w:rsidP="00777703">
      <w:pPr>
        <w:pStyle w:val="normal12"/>
        <w:suppressAutoHyphens/>
        <w:spacing w:before="0" w:line="240" w:lineRule="auto"/>
        <w:jc w:val="left"/>
        <w:rPr>
          <w:rFonts w:ascii="Times New Roman" w:hAnsi="Times New Roman"/>
          <w:b/>
          <w:bCs/>
          <w:color w:val="000000"/>
        </w:rPr>
      </w:pPr>
    </w:p>
    <w:p w14:paraId="5621A5A5" w14:textId="67C656CD" w:rsidR="00691151" w:rsidRPr="008B1CB3" w:rsidRDefault="00691151" w:rsidP="00395E14">
      <w:pPr>
        <w:pStyle w:val="Caption"/>
        <w:spacing w:after="120"/>
        <w:rPr>
          <w:b/>
          <w:bCs/>
          <w:i w:val="0"/>
          <w:color w:val="000000"/>
          <w:sz w:val="24"/>
          <w:szCs w:val="24"/>
        </w:rPr>
      </w:pPr>
      <w:r w:rsidRPr="008B1CB3">
        <w:rPr>
          <w:b/>
          <w:bCs/>
          <w:color w:val="000000"/>
          <w:sz w:val="24"/>
          <w:szCs w:val="24"/>
        </w:rPr>
        <w:t xml:space="preserve">Table </w:t>
      </w:r>
      <w:r w:rsidR="00195307" w:rsidRPr="008B1CB3">
        <w:rPr>
          <w:b/>
          <w:bCs/>
          <w:color w:val="000000"/>
          <w:sz w:val="24"/>
          <w:szCs w:val="24"/>
        </w:rPr>
        <w:t>I</w:t>
      </w:r>
      <w:r w:rsidRPr="008B1CB3">
        <w:rPr>
          <w:b/>
          <w:bCs/>
          <w:color w:val="000000"/>
          <w:sz w:val="24"/>
          <w:szCs w:val="24"/>
        </w:rPr>
        <w:t>.</w:t>
      </w:r>
      <w:r w:rsidR="000E6692" w:rsidRPr="008B1CB3">
        <w:rPr>
          <w:b/>
          <w:bCs/>
          <w:color w:val="000000"/>
          <w:sz w:val="24"/>
          <w:szCs w:val="24"/>
        </w:rPr>
        <w:t>2</w:t>
      </w:r>
      <w:r w:rsidR="006E160F" w:rsidRPr="008B1CB3">
        <w:rPr>
          <w:b/>
          <w:bCs/>
          <w:color w:val="000000"/>
          <w:sz w:val="24"/>
          <w:szCs w:val="24"/>
        </w:rPr>
        <w:t>.</w:t>
      </w:r>
      <w:r w:rsidR="005653E8" w:rsidRPr="008B1CB3">
        <w:rPr>
          <w:b/>
          <w:bCs/>
          <w:i w:val="0"/>
          <w:color w:val="000000"/>
          <w:sz w:val="24"/>
          <w:szCs w:val="24"/>
        </w:rPr>
        <w:t xml:space="preserve"> </w:t>
      </w:r>
      <w:r w:rsidRPr="008B1CB3">
        <w:rPr>
          <w:b/>
          <w:bCs/>
          <w:color w:val="000000"/>
          <w:sz w:val="24"/>
          <w:szCs w:val="24"/>
        </w:rPr>
        <w:t>Analytical framework of risk factors for evictions</w:t>
      </w:r>
      <w:r w:rsidRPr="008B1CB3">
        <w:rPr>
          <w:rStyle w:val="FootnoteReference"/>
          <w:b/>
          <w:bCs/>
          <w:i w:val="0"/>
          <w:color w:val="000000"/>
          <w:sz w:val="24"/>
          <w:szCs w:val="24"/>
        </w:rPr>
        <w:footnoteReference w:id="35"/>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8" w:type="dxa"/>
          <w:bottom w:w="17" w:type="dxa"/>
          <w:right w:w="68" w:type="dxa"/>
        </w:tblCellMar>
        <w:tblLook w:val="04A0" w:firstRow="1" w:lastRow="0" w:firstColumn="1" w:lastColumn="0" w:noHBand="0" w:noVBand="1"/>
      </w:tblPr>
      <w:tblGrid>
        <w:gridCol w:w="1628"/>
        <w:gridCol w:w="2442"/>
        <w:gridCol w:w="4422"/>
      </w:tblGrid>
      <w:tr w:rsidR="00691151" w:rsidRPr="007D4DDF" w14:paraId="43C109C6" w14:textId="77777777" w:rsidTr="00073E2B">
        <w:tc>
          <w:tcPr>
            <w:tcW w:w="1628" w:type="dxa"/>
            <w:shd w:val="clear" w:color="auto" w:fill="auto"/>
          </w:tcPr>
          <w:p w14:paraId="63DC812F" w14:textId="77777777" w:rsidR="00691151" w:rsidRPr="008B1CB3" w:rsidRDefault="00691151" w:rsidP="00777703">
            <w:pPr>
              <w:pStyle w:val="Tabellenkopfzeile"/>
              <w:suppressAutoHyphens/>
              <w:spacing w:before="0" w:after="120" w:line="240" w:lineRule="auto"/>
              <w:jc w:val="left"/>
              <w:rPr>
                <w:rFonts w:ascii="Times New Roman" w:hAnsi="Times New Roman"/>
                <w:bCs/>
                <w:color w:val="000000"/>
              </w:rPr>
            </w:pPr>
            <w:r w:rsidRPr="008B1CB3">
              <w:rPr>
                <w:rFonts w:ascii="Times New Roman" w:hAnsi="Times New Roman"/>
                <w:bCs/>
                <w:color w:val="000000"/>
              </w:rPr>
              <w:t>Level of cause</w:t>
            </w:r>
          </w:p>
        </w:tc>
        <w:tc>
          <w:tcPr>
            <w:tcW w:w="2442" w:type="dxa"/>
            <w:shd w:val="clear" w:color="auto" w:fill="auto"/>
          </w:tcPr>
          <w:p w14:paraId="1D54C48A" w14:textId="77777777" w:rsidR="00691151" w:rsidRPr="007D4DDF" w:rsidRDefault="00691151" w:rsidP="00777703">
            <w:pPr>
              <w:pStyle w:val="Tabellenkopfzeile"/>
              <w:suppressAutoHyphens/>
              <w:spacing w:before="0" w:after="120" w:line="240" w:lineRule="auto"/>
              <w:jc w:val="left"/>
              <w:rPr>
                <w:rFonts w:ascii="Times New Roman" w:hAnsi="Times New Roman"/>
                <w:b w:val="0"/>
                <w:color w:val="000000"/>
              </w:rPr>
            </w:pPr>
            <w:r w:rsidRPr="007D4DDF">
              <w:rPr>
                <w:rFonts w:ascii="Times New Roman" w:hAnsi="Times New Roman"/>
                <w:b w:val="0"/>
                <w:color w:val="000000"/>
              </w:rPr>
              <w:t>Factor</w:t>
            </w:r>
          </w:p>
        </w:tc>
        <w:tc>
          <w:tcPr>
            <w:tcW w:w="4422" w:type="dxa"/>
            <w:shd w:val="clear" w:color="auto" w:fill="auto"/>
          </w:tcPr>
          <w:p w14:paraId="58049B27" w14:textId="77777777" w:rsidR="00691151" w:rsidRPr="007D4DDF" w:rsidRDefault="00691151" w:rsidP="00777703">
            <w:pPr>
              <w:pStyle w:val="Tabellenkopfzeile"/>
              <w:suppressAutoHyphens/>
              <w:spacing w:before="0" w:after="120" w:line="240" w:lineRule="auto"/>
              <w:jc w:val="left"/>
              <w:rPr>
                <w:rFonts w:ascii="Times New Roman" w:hAnsi="Times New Roman"/>
                <w:b w:val="0"/>
                <w:color w:val="000000"/>
              </w:rPr>
            </w:pPr>
            <w:r w:rsidRPr="007D4DDF">
              <w:rPr>
                <w:rFonts w:ascii="Times New Roman" w:hAnsi="Times New Roman"/>
                <w:b w:val="0"/>
                <w:color w:val="000000"/>
              </w:rPr>
              <w:t>Comment</w:t>
            </w:r>
          </w:p>
        </w:tc>
      </w:tr>
      <w:tr w:rsidR="00691151" w:rsidRPr="007D4DDF" w14:paraId="71105D80" w14:textId="77777777" w:rsidTr="00073E2B">
        <w:tc>
          <w:tcPr>
            <w:tcW w:w="1628" w:type="dxa"/>
            <w:shd w:val="clear" w:color="auto" w:fill="auto"/>
          </w:tcPr>
          <w:p w14:paraId="5FA0CC44" w14:textId="77777777" w:rsidR="00691151" w:rsidRPr="008B1CB3" w:rsidRDefault="00691151" w:rsidP="00395E14">
            <w:pPr>
              <w:pStyle w:val="Tables"/>
              <w:suppressAutoHyphens/>
              <w:spacing w:before="0" w:after="120" w:line="240" w:lineRule="auto"/>
              <w:rPr>
                <w:rFonts w:ascii="Times New Roman" w:hAnsi="Times New Roman"/>
                <w:b/>
                <w:bCs/>
                <w:color w:val="000000"/>
              </w:rPr>
            </w:pPr>
            <w:r w:rsidRPr="008B1CB3">
              <w:rPr>
                <w:rFonts w:ascii="Times New Roman" w:hAnsi="Times New Roman"/>
                <w:b/>
                <w:bCs/>
                <w:color w:val="000000"/>
              </w:rPr>
              <w:t>Structural</w:t>
            </w:r>
          </w:p>
        </w:tc>
        <w:tc>
          <w:tcPr>
            <w:tcW w:w="2442" w:type="dxa"/>
            <w:shd w:val="clear" w:color="auto" w:fill="auto"/>
          </w:tcPr>
          <w:p w14:paraId="36C936A7"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Poverty</w:t>
            </w:r>
          </w:p>
        </w:tc>
        <w:tc>
          <w:tcPr>
            <w:tcW w:w="4422" w:type="dxa"/>
            <w:shd w:val="clear" w:color="auto" w:fill="auto"/>
          </w:tcPr>
          <w:p w14:paraId="6042785C"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High level of poverty</w:t>
            </w:r>
          </w:p>
        </w:tc>
      </w:tr>
      <w:tr w:rsidR="00691151" w:rsidRPr="007D4DDF" w14:paraId="0BB38712" w14:textId="77777777" w:rsidTr="00073E2B">
        <w:tc>
          <w:tcPr>
            <w:tcW w:w="1628" w:type="dxa"/>
            <w:shd w:val="clear" w:color="auto" w:fill="auto"/>
          </w:tcPr>
          <w:p w14:paraId="1BDFEFEA"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79039396"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Unemployment</w:t>
            </w:r>
          </w:p>
        </w:tc>
        <w:tc>
          <w:tcPr>
            <w:tcW w:w="4422" w:type="dxa"/>
            <w:shd w:val="clear" w:color="auto" w:fill="auto"/>
          </w:tcPr>
          <w:p w14:paraId="1941C872"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High unemployment rate, financial turmoil</w:t>
            </w:r>
          </w:p>
        </w:tc>
      </w:tr>
      <w:tr w:rsidR="00691151" w:rsidRPr="007D4DDF" w14:paraId="78B8458F" w14:textId="77777777" w:rsidTr="00073E2B">
        <w:tc>
          <w:tcPr>
            <w:tcW w:w="1628" w:type="dxa"/>
            <w:shd w:val="clear" w:color="auto" w:fill="auto"/>
          </w:tcPr>
          <w:p w14:paraId="01518639"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2F96F387"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Lack of affordable housing</w:t>
            </w:r>
          </w:p>
        </w:tc>
        <w:tc>
          <w:tcPr>
            <w:tcW w:w="4422" w:type="dxa"/>
            <w:shd w:val="clear" w:color="auto" w:fill="auto"/>
          </w:tcPr>
          <w:p w14:paraId="4D094C13"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High housing and rent prices, supply shortage of affordable housing</w:t>
            </w:r>
          </w:p>
        </w:tc>
      </w:tr>
      <w:tr w:rsidR="00691151" w:rsidRPr="007D4DDF" w14:paraId="4F76F6FF" w14:textId="77777777" w:rsidTr="00073E2B">
        <w:tc>
          <w:tcPr>
            <w:tcW w:w="1628" w:type="dxa"/>
            <w:shd w:val="clear" w:color="auto" w:fill="auto"/>
          </w:tcPr>
          <w:p w14:paraId="50518093" w14:textId="77777777" w:rsidR="00691151" w:rsidRPr="008B1CB3" w:rsidRDefault="00691151" w:rsidP="00395E14">
            <w:pPr>
              <w:pStyle w:val="Tables"/>
              <w:suppressAutoHyphens/>
              <w:spacing w:before="0" w:after="120" w:line="240" w:lineRule="auto"/>
              <w:rPr>
                <w:rFonts w:ascii="Times New Roman" w:hAnsi="Times New Roman"/>
                <w:b/>
                <w:bCs/>
                <w:color w:val="000000"/>
              </w:rPr>
            </w:pPr>
            <w:r w:rsidRPr="008B1CB3">
              <w:rPr>
                <w:rFonts w:ascii="Times New Roman" w:hAnsi="Times New Roman"/>
                <w:b/>
                <w:bCs/>
                <w:color w:val="000000"/>
              </w:rPr>
              <w:t>Systemic/</w:t>
            </w:r>
            <w:r w:rsidRPr="008B1CB3">
              <w:rPr>
                <w:rFonts w:ascii="Times New Roman" w:hAnsi="Times New Roman"/>
                <w:b/>
                <w:bCs/>
                <w:color w:val="000000"/>
              </w:rPr>
              <w:br/>
              <w:t>institutional</w:t>
            </w:r>
          </w:p>
        </w:tc>
        <w:tc>
          <w:tcPr>
            <w:tcW w:w="2442" w:type="dxa"/>
            <w:shd w:val="clear" w:color="auto" w:fill="auto"/>
          </w:tcPr>
          <w:p w14:paraId="61BE6A8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Legal systems</w:t>
            </w:r>
          </w:p>
        </w:tc>
        <w:tc>
          <w:tcPr>
            <w:tcW w:w="4422" w:type="dxa"/>
            <w:shd w:val="clear" w:color="auto" w:fill="auto"/>
          </w:tcPr>
          <w:p w14:paraId="6109C92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Legal procedures on evictions and repossessions contain few mechanisms to prevent eviction</w:t>
            </w:r>
          </w:p>
        </w:tc>
      </w:tr>
      <w:tr w:rsidR="00691151" w:rsidRPr="007D4DDF" w14:paraId="71AFFA73" w14:textId="77777777" w:rsidTr="00073E2B">
        <w:tc>
          <w:tcPr>
            <w:tcW w:w="1628" w:type="dxa"/>
            <w:shd w:val="clear" w:color="auto" w:fill="auto"/>
          </w:tcPr>
          <w:p w14:paraId="21EE6AF5"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5289F612"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Social protection systems</w:t>
            </w:r>
          </w:p>
        </w:tc>
        <w:tc>
          <w:tcPr>
            <w:tcW w:w="4422" w:type="dxa"/>
            <w:shd w:val="clear" w:color="auto" w:fill="auto"/>
          </w:tcPr>
          <w:p w14:paraId="11B1EBCE"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Weak protection against unemployment and loss of income, low subsistence benefits</w:t>
            </w:r>
          </w:p>
        </w:tc>
      </w:tr>
      <w:tr w:rsidR="00691151" w:rsidRPr="007D4DDF" w14:paraId="35B62407" w14:textId="77777777" w:rsidTr="00073E2B">
        <w:tc>
          <w:tcPr>
            <w:tcW w:w="1628" w:type="dxa"/>
            <w:shd w:val="clear" w:color="auto" w:fill="auto"/>
          </w:tcPr>
          <w:p w14:paraId="07280BF6"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265F8B59"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Availability of support services</w:t>
            </w:r>
          </w:p>
        </w:tc>
        <w:tc>
          <w:tcPr>
            <w:tcW w:w="4422" w:type="dxa"/>
            <w:shd w:val="clear" w:color="auto" w:fill="auto"/>
          </w:tcPr>
          <w:p w14:paraId="3A71AAE7"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Shortage of social support, prevention and outreach for high-need groups</w:t>
            </w:r>
            <w:r w:rsidR="00530D85" w:rsidRPr="007D4DDF">
              <w:rPr>
                <w:rFonts w:ascii="Times New Roman" w:hAnsi="Times New Roman"/>
                <w:color w:val="000000"/>
              </w:rPr>
              <w:t>,</w:t>
            </w:r>
            <w:r w:rsidRPr="007D4DDF">
              <w:rPr>
                <w:rFonts w:ascii="Times New Roman" w:hAnsi="Times New Roman"/>
                <w:color w:val="000000"/>
              </w:rPr>
              <w:t xml:space="preserve"> </w:t>
            </w:r>
            <w:proofErr w:type="spellStart"/>
            <w:proofErr w:type="gramStart"/>
            <w:r w:rsidRPr="007D4DDF">
              <w:rPr>
                <w:rFonts w:ascii="Times New Roman" w:hAnsi="Times New Roman"/>
                <w:color w:val="000000"/>
              </w:rPr>
              <w:t>i</w:t>
            </w:r>
            <w:r w:rsidR="006771D4" w:rsidRPr="007D4DDF">
              <w:rPr>
                <w:rFonts w:ascii="Times New Roman" w:hAnsi="Times New Roman"/>
                <w:color w:val="000000"/>
              </w:rPr>
              <w:t>e</w:t>
            </w:r>
            <w:proofErr w:type="spellEnd"/>
            <w:proofErr w:type="gramEnd"/>
            <w:r w:rsidRPr="007D4DDF">
              <w:rPr>
                <w:rFonts w:ascii="Times New Roman" w:hAnsi="Times New Roman"/>
                <w:color w:val="000000"/>
              </w:rPr>
              <w:t xml:space="preserve"> individuals with psychosocial vulnerabilities</w:t>
            </w:r>
          </w:p>
        </w:tc>
      </w:tr>
      <w:tr w:rsidR="00691151" w:rsidRPr="007D4DDF" w14:paraId="12628B13" w14:textId="77777777" w:rsidTr="00073E2B">
        <w:tc>
          <w:tcPr>
            <w:tcW w:w="1628" w:type="dxa"/>
            <w:shd w:val="clear" w:color="auto" w:fill="auto"/>
          </w:tcPr>
          <w:p w14:paraId="2790FEA8"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00862BE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 xml:space="preserve">Housing allocation systems </w:t>
            </w:r>
          </w:p>
        </w:tc>
        <w:tc>
          <w:tcPr>
            <w:tcW w:w="4422" w:type="dxa"/>
            <w:shd w:val="clear" w:color="auto" w:fill="auto"/>
          </w:tcPr>
          <w:p w14:paraId="364F1196"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Insufficient social housing available for low-income and high-need groups</w:t>
            </w:r>
          </w:p>
        </w:tc>
      </w:tr>
      <w:tr w:rsidR="00691151" w:rsidRPr="007D4DDF" w14:paraId="68326515" w14:textId="77777777" w:rsidTr="00073E2B">
        <w:tc>
          <w:tcPr>
            <w:tcW w:w="1628" w:type="dxa"/>
            <w:shd w:val="clear" w:color="auto" w:fill="auto"/>
          </w:tcPr>
          <w:p w14:paraId="697E2633"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278C6B9D"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Integration and coordination between existing services (including housing)</w:t>
            </w:r>
          </w:p>
        </w:tc>
        <w:tc>
          <w:tcPr>
            <w:tcW w:w="4422" w:type="dxa"/>
            <w:shd w:val="clear" w:color="auto" w:fill="auto"/>
          </w:tcPr>
          <w:p w14:paraId="51092DE4"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Lack of holistic approaches to housing and support</w:t>
            </w:r>
          </w:p>
        </w:tc>
      </w:tr>
      <w:tr w:rsidR="00691151" w:rsidRPr="007D4DDF" w14:paraId="1835DDD6" w14:textId="77777777" w:rsidTr="00073E2B">
        <w:tc>
          <w:tcPr>
            <w:tcW w:w="1628" w:type="dxa"/>
            <w:shd w:val="clear" w:color="auto" w:fill="auto"/>
          </w:tcPr>
          <w:p w14:paraId="705CCDFD" w14:textId="77777777" w:rsidR="00691151" w:rsidRPr="008B1CB3" w:rsidRDefault="00691151" w:rsidP="00395E14">
            <w:pPr>
              <w:pStyle w:val="Tables"/>
              <w:suppressAutoHyphens/>
              <w:spacing w:before="0" w:after="120" w:line="240" w:lineRule="auto"/>
              <w:rPr>
                <w:rFonts w:ascii="Times New Roman" w:hAnsi="Times New Roman"/>
                <w:b/>
                <w:bCs/>
                <w:color w:val="000000"/>
              </w:rPr>
            </w:pPr>
            <w:r w:rsidRPr="008B1CB3">
              <w:rPr>
                <w:rFonts w:ascii="Times New Roman" w:hAnsi="Times New Roman"/>
                <w:b/>
                <w:bCs/>
                <w:color w:val="000000"/>
              </w:rPr>
              <w:t xml:space="preserve">Interpersonal </w:t>
            </w:r>
          </w:p>
        </w:tc>
        <w:tc>
          <w:tcPr>
            <w:tcW w:w="2442" w:type="dxa"/>
            <w:shd w:val="clear" w:color="auto" w:fill="auto"/>
          </w:tcPr>
          <w:p w14:paraId="33574A50"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Family status</w:t>
            </w:r>
          </w:p>
        </w:tc>
        <w:tc>
          <w:tcPr>
            <w:tcW w:w="4422" w:type="dxa"/>
            <w:shd w:val="clear" w:color="auto" w:fill="auto"/>
          </w:tcPr>
          <w:p w14:paraId="36CAAC04"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Single pe</w:t>
            </w:r>
            <w:r w:rsidR="00BB5EE4" w:rsidRPr="007D4DDF">
              <w:rPr>
                <w:rFonts w:ascii="Times New Roman" w:hAnsi="Times New Roman"/>
                <w:color w:val="000000"/>
              </w:rPr>
              <w:t>rsons</w:t>
            </w:r>
            <w:r w:rsidRPr="007D4DDF">
              <w:rPr>
                <w:rFonts w:ascii="Times New Roman" w:hAnsi="Times New Roman"/>
                <w:color w:val="000000"/>
              </w:rPr>
              <w:t xml:space="preserve"> more vulnerable</w:t>
            </w:r>
          </w:p>
        </w:tc>
      </w:tr>
      <w:tr w:rsidR="00691151" w:rsidRPr="007D4DDF" w14:paraId="261FD2F4" w14:textId="77777777" w:rsidTr="00073E2B">
        <w:tc>
          <w:tcPr>
            <w:tcW w:w="1628" w:type="dxa"/>
            <w:shd w:val="clear" w:color="auto" w:fill="auto"/>
          </w:tcPr>
          <w:p w14:paraId="658C200D"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4BB66D3C"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Relationship situation</w:t>
            </w:r>
          </w:p>
        </w:tc>
        <w:tc>
          <w:tcPr>
            <w:tcW w:w="4422" w:type="dxa"/>
            <w:shd w:val="clear" w:color="auto" w:fill="auto"/>
          </w:tcPr>
          <w:p w14:paraId="308980D2"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Abusive partners</w:t>
            </w:r>
          </w:p>
        </w:tc>
      </w:tr>
      <w:tr w:rsidR="00691151" w:rsidRPr="007D4DDF" w14:paraId="436363C6" w14:textId="77777777" w:rsidTr="00073E2B">
        <w:tc>
          <w:tcPr>
            <w:tcW w:w="1628" w:type="dxa"/>
            <w:shd w:val="clear" w:color="auto" w:fill="auto"/>
          </w:tcPr>
          <w:p w14:paraId="2DECAC3D"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6B987294" w14:textId="77777777" w:rsidR="00691151" w:rsidRPr="007D4DDF" w:rsidRDefault="00571BED"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R</w:t>
            </w:r>
            <w:r w:rsidR="00691151" w:rsidRPr="007D4DDF">
              <w:rPr>
                <w:rFonts w:ascii="Times New Roman" w:hAnsi="Times New Roman"/>
                <w:color w:val="000000"/>
              </w:rPr>
              <w:t>elationship breakdown</w:t>
            </w:r>
          </w:p>
        </w:tc>
        <w:tc>
          <w:tcPr>
            <w:tcW w:w="4422" w:type="dxa"/>
            <w:shd w:val="clear" w:color="auto" w:fill="auto"/>
          </w:tcPr>
          <w:p w14:paraId="52709079"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Death, divorce, separation</w:t>
            </w:r>
          </w:p>
        </w:tc>
      </w:tr>
      <w:tr w:rsidR="00691151" w:rsidRPr="007D4DDF" w14:paraId="60717A52" w14:textId="77777777" w:rsidTr="00073E2B">
        <w:tc>
          <w:tcPr>
            <w:tcW w:w="1628" w:type="dxa"/>
            <w:shd w:val="clear" w:color="auto" w:fill="auto"/>
          </w:tcPr>
          <w:p w14:paraId="56F77965"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6EF9090E"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Lack of social network</w:t>
            </w:r>
          </w:p>
        </w:tc>
        <w:tc>
          <w:tcPr>
            <w:tcW w:w="4422" w:type="dxa"/>
            <w:shd w:val="clear" w:color="auto" w:fill="auto"/>
          </w:tcPr>
          <w:p w14:paraId="62DD577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No support from family, friends or social networks</w:t>
            </w:r>
          </w:p>
        </w:tc>
      </w:tr>
      <w:tr w:rsidR="00691151" w:rsidRPr="007D4DDF" w14:paraId="197FAEE6" w14:textId="77777777" w:rsidTr="00073E2B">
        <w:tc>
          <w:tcPr>
            <w:tcW w:w="1628" w:type="dxa"/>
            <w:shd w:val="clear" w:color="auto" w:fill="auto"/>
          </w:tcPr>
          <w:p w14:paraId="7C6E92EC" w14:textId="77777777" w:rsidR="00691151" w:rsidRPr="008B1CB3" w:rsidRDefault="00691151" w:rsidP="00395E14">
            <w:pPr>
              <w:pStyle w:val="Tables"/>
              <w:suppressAutoHyphens/>
              <w:spacing w:before="0" w:after="120" w:line="240" w:lineRule="auto"/>
              <w:rPr>
                <w:rFonts w:ascii="Times New Roman" w:hAnsi="Times New Roman"/>
                <w:b/>
                <w:bCs/>
                <w:color w:val="000000"/>
              </w:rPr>
            </w:pPr>
            <w:r w:rsidRPr="008B1CB3">
              <w:rPr>
                <w:rFonts w:ascii="Times New Roman" w:hAnsi="Times New Roman"/>
                <w:b/>
                <w:bCs/>
                <w:color w:val="000000"/>
              </w:rPr>
              <w:t>Personal</w:t>
            </w:r>
          </w:p>
        </w:tc>
        <w:tc>
          <w:tcPr>
            <w:tcW w:w="2442" w:type="dxa"/>
            <w:shd w:val="clear" w:color="auto" w:fill="auto"/>
          </w:tcPr>
          <w:p w14:paraId="3907609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Economic / employment status</w:t>
            </w:r>
          </w:p>
        </w:tc>
        <w:tc>
          <w:tcPr>
            <w:tcW w:w="4422" w:type="dxa"/>
            <w:shd w:val="clear" w:color="auto" w:fill="auto"/>
          </w:tcPr>
          <w:p w14:paraId="6B11809B"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Low disposable income, no job, working poor, low savings</w:t>
            </w:r>
          </w:p>
        </w:tc>
      </w:tr>
      <w:tr w:rsidR="00691151" w:rsidRPr="007D4DDF" w14:paraId="2C23E274" w14:textId="77777777" w:rsidTr="00073E2B">
        <w:tc>
          <w:tcPr>
            <w:tcW w:w="1628" w:type="dxa"/>
            <w:shd w:val="clear" w:color="auto" w:fill="auto"/>
          </w:tcPr>
          <w:p w14:paraId="5265794E"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19EB97AE"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Ethnic status</w:t>
            </w:r>
            <w:r w:rsidR="00BB5EE4" w:rsidRPr="007D4DDF">
              <w:rPr>
                <w:rFonts w:ascii="Times New Roman" w:hAnsi="Times New Roman"/>
                <w:color w:val="000000"/>
              </w:rPr>
              <w:t xml:space="preserve"> </w:t>
            </w:r>
            <w:r w:rsidRPr="007D4DDF">
              <w:rPr>
                <w:rFonts w:ascii="Times New Roman" w:hAnsi="Times New Roman"/>
                <w:color w:val="000000"/>
              </w:rPr>
              <w:t>/</w:t>
            </w:r>
            <w:r w:rsidR="00530D85" w:rsidRPr="007D4DDF">
              <w:rPr>
                <w:rFonts w:ascii="Times New Roman" w:hAnsi="Times New Roman"/>
                <w:color w:val="000000"/>
              </w:rPr>
              <w:t xml:space="preserve"> </w:t>
            </w:r>
            <w:r w:rsidRPr="007D4DDF">
              <w:rPr>
                <w:rFonts w:ascii="Times New Roman" w:hAnsi="Times New Roman"/>
                <w:color w:val="000000"/>
              </w:rPr>
              <w:t>minority background</w:t>
            </w:r>
          </w:p>
        </w:tc>
        <w:tc>
          <w:tcPr>
            <w:tcW w:w="4422" w:type="dxa"/>
            <w:shd w:val="clear" w:color="auto" w:fill="auto"/>
          </w:tcPr>
          <w:p w14:paraId="7E26A8BA"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Cultural barriers, discrimination</w:t>
            </w:r>
          </w:p>
        </w:tc>
      </w:tr>
      <w:tr w:rsidR="00691151" w:rsidRPr="007D4DDF" w14:paraId="310F35E4" w14:textId="77777777" w:rsidTr="00073E2B">
        <w:tc>
          <w:tcPr>
            <w:tcW w:w="1628" w:type="dxa"/>
            <w:shd w:val="clear" w:color="auto" w:fill="auto"/>
          </w:tcPr>
          <w:p w14:paraId="77B351C8"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35555719"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Citizenship status</w:t>
            </w:r>
          </w:p>
        </w:tc>
        <w:tc>
          <w:tcPr>
            <w:tcW w:w="4422" w:type="dxa"/>
            <w:shd w:val="clear" w:color="auto" w:fill="auto"/>
          </w:tcPr>
          <w:p w14:paraId="25FB3439"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Lack of access to social protection</w:t>
            </w:r>
          </w:p>
        </w:tc>
      </w:tr>
      <w:tr w:rsidR="00691151" w:rsidRPr="007D4DDF" w14:paraId="590D621D" w14:textId="77777777" w:rsidTr="00073E2B">
        <w:tc>
          <w:tcPr>
            <w:tcW w:w="1628" w:type="dxa"/>
            <w:shd w:val="clear" w:color="auto" w:fill="auto"/>
          </w:tcPr>
          <w:p w14:paraId="2F9334BC"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3D5AE005"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Disability / long-term illness</w:t>
            </w:r>
          </w:p>
        </w:tc>
        <w:tc>
          <w:tcPr>
            <w:tcW w:w="4422" w:type="dxa"/>
            <w:shd w:val="clear" w:color="auto" w:fill="auto"/>
          </w:tcPr>
          <w:p w14:paraId="625103D8"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Includes mental ill health and learning disability</w:t>
            </w:r>
          </w:p>
        </w:tc>
      </w:tr>
      <w:tr w:rsidR="00691151" w:rsidRPr="007D4DDF" w14:paraId="282E00E3" w14:textId="77777777" w:rsidTr="00073E2B">
        <w:tc>
          <w:tcPr>
            <w:tcW w:w="1628" w:type="dxa"/>
            <w:shd w:val="clear" w:color="auto" w:fill="auto"/>
          </w:tcPr>
          <w:p w14:paraId="7179DAE8"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6ACFF775"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Educational attainment</w:t>
            </w:r>
          </w:p>
        </w:tc>
        <w:tc>
          <w:tcPr>
            <w:tcW w:w="4422" w:type="dxa"/>
            <w:shd w:val="clear" w:color="auto" w:fill="auto"/>
          </w:tcPr>
          <w:p w14:paraId="4755230A"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Low attainment</w:t>
            </w:r>
          </w:p>
        </w:tc>
      </w:tr>
      <w:tr w:rsidR="00691151" w:rsidRPr="007D4DDF" w14:paraId="378173BC" w14:textId="77777777" w:rsidTr="00073E2B">
        <w:tc>
          <w:tcPr>
            <w:tcW w:w="1628" w:type="dxa"/>
            <w:shd w:val="clear" w:color="auto" w:fill="auto"/>
          </w:tcPr>
          <w:p w14:paraId="07E4DE88"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7239C79E"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Addiction</w:t>
            </w:r>
          </w:p>
        </w:tc>
        <w:tc>
          <w:tcPr>
            <w:tcW w:w="4422" w:type="dxa"/>
            <w:shd w:val="clear" w:color="auto" w:fill="auto"/>
          </w:tcPr>
          <w:p w14:paraId="2DABEBCA"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Alcohol, drugs, gambling</w:t>
            </w:r>
          </w:p>
        </w:tc>
      </w:tr>
      <w:tr w:rsidR="00691151" w:rsidRPr="007D4DDF" w14:paraId="26826285" w14:textId="77777777" w:rsidTr="00073E2B">
        <w:tc>
          <w:tcPr>
            <w:tcW w:w="1628" w:type="dxa"/>
            <w:shd w:val="clear" w:color="auto" w:fill="auto"/>
          </w:tcPr>
          <w:p w14:paraId="7C41B47B"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7FB5D3EE"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 xml:space="preserve">Age / </w:t>
            </w:r>
            <w:r w:rsidR="00530D85" w:rsidRPr="007D4DDF">
              <w:rPr>
                <w:rFonts w:ascii="Times New Roman" w:hAnsi="Times New Roman"/>
                <w:color w:val="000000"/>
              </w:rPr>
              <w:t>g</w:t>
            </w:r>
            <w:r w:rsidRPr="007D4DDF">
              <w:rPr>
                <w:rFonts w:ascii="Times New Roman" w:hAnsi="Times New Roman"/>
                <w:color w:val="000000"/>
              </w:rPr>
              <w:t>ender</w:t>
            </w:r>
          </w:p>
        </w:tc>
        <w:tc>
          <w:tcPr>
            <w:tcW w:w="4422" w:type="dxa"/>
            <w:shd w:val="clear" w:color="auto" w:fill="auto"/>
          </w:tcPr>
          <w:p w14:paraId="7D905E66"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Young / old, male</w:t>
            </w:r>
            <w:r w:rsidR="00530D85" w:rsidRPr="007D4DDF">
              <w:rPr>
                <w:rFonts w:ascii="Times New Roman" w:hAnsi="Times New Roman"/>
                <w:color w:val="000000"/>
              </w:rPr>
              <w:t xml:space="preserve"> </w:t>
            </w:r>
            <w:r w:rsidRPr="007D4DDF">
              <w:rPr>
                <w:rFonts w:ascii="Times New Roman" w:hAnsi="Times New Roman"/>
                <w:color w:val="000000"/>
              </w:rPr>
              <w:t>/</w:t>
            </w:r>
            <w:r w:rsidR="00530D85" w:rsidRPr="007D4DDF">
              <w:rPr>
                <w:rFonts w:ascii="Times New Roman" w:hAnsi="Times New Roman"/>
                <w:color w:val="000000"/>
              </w:rPr>
              <w:t xml:space="preserve"> </w:t>
            </w:r>
            <w:r w:rsidRPr="007D4DDF">
              <w:rPr>
                <w:rFonts w:ascii="Times New Roman" w:hAnsi="Times New Roman"/>
                <w:color w:val="000000"/>
              </w:rPr>
              <w:t>female</w:t>
            </w:r>
            <w:r w:rsidR="00530D85" w:rsidRPr="007D4DDF">
              <w:rPr>
                <w:rFonts w:ascii="Times New Roman" w:hAnsi="Times New Roman"/>
                <w:color w:val="000000"/>
              </w:rPr>
              <w:t xml:space="preserve"> </w:t>
            </w:r>
            <w:r w:rsidRPr="007D4DDF">
              <w:rPr>
                <w:rFonts w:ascii="Times New Roman" w:hAnsi="Times New Roman"/>
                <w:color w:val="000000"/>
              </w:rPr>
              <w:t>/</w:t>
            </w:r>
            <w:r w:rsidR="00530D85" w:rsidRPr="007D4DDF">
              <w:rPr>
                <w:rFonts w:ascii="Times New Roman" w:hAnsi="Times New Roman"/>
                <w:color w:val="000000"/>
              </w:rPr>
              <w:t xml:space="preserve"> </w:t>
            </w:r>
            <w:r w:rsidRPr="007D4DDF">
              <w:rPr>
                <w:rFonts w:ascii="Times New Roman" w:hAnsi="Times New Roman"/>
                <w:color w:val="000000"/>
              </w:rPr>
              <w:t>transgender</w:t>
            </w:r>
            <w:r w:rsidR="00530D85" w:rsidRPr="007D4DDF">
              <w:rPr>
                <w:rFonts w:ascii="Times New Roman" w:hAnsi="Times New Roman"/>
                <w:color w:val="000000"/>
              </w:rPr>
              <w:t xml:space="preserve"> </w:t>
            </w:r>
            <w:r w:rsidRPr="007D4DDF">
              <w:rPr>
                <w:rFonts w:ascii="Times New Roman" w:hAnsi="Times New Roman"/>
                <w:color w:val="000000"/>
              </w:rPr>
              <w:t>/</w:t>
            </w:r>
            <w:r w:rsidR="00530D85" w:rsidRPr="007D4DDF">
              <w:rPr>
                <w:rFonts w:ascii="Times New Roman" w:hAnsi="Times New Roman"/>
                <w:color w:val="000000"/>
              </w:rPr>
              <w:t xml:space="preserve"> </w:t>
            </w:r>
            <w:r w:rsidRPr="007D4DDF">
              <w:rPr>
                <w:rFonts w:ascii="Times New Roman" w:hAnsi="Times New Roman"/>
                <w:color w:val="000000"/>
              </w:rPr>
              <w:t>other</w:t>
            </w:r>
          </w:p>
        </w:tc>
      </w:tr>
      <w:tr w:rsidR="00691151" w:rsidRPr="007D4DDF" w14:paraId="6151FD21" w14:textId="77777777" w:rsidTr="00073E2B">
        <w:tc>
          <w:tcPr>
            <w:tcW w:w="1628" w:type="dxa"/>
            <w:shd w:val="clear" w:color="auto" w:fill="auto"/>
          </w:tcPr>
          <w:p w14:paraId="730A5EB5" w14:textId="77777777" w:rsidR="00691151" w:rsidRPr="008B1CB3" w:rsidRDefault="00691151" w:rsidP="00395E14">
            <w:pPr>
              <w:pStyle w:val="Tables"/>
              <w:suppressAutoHyphens/>
              <w:spacing w:before="0" w:after="120" w:line="240" w:lineRule="auto"/>
              <w:rPr>
                <w:rFonts w:ascii="Times New Roman" w:hAnsi="Times New Roman"/>
                <w:b/>
                <w:bCs/>
                <w:color w:val="000000"/>
              </w:rPr>
            </w:pPr>
          </w:p>
        </w:tc>
        <w:tc>
          <w:tcPr>
            <w:tcW w:w="2442" w:type="dxa"/>
            <w:shd w:val="clear" w:color="auto" w:fill="auto"/>
          </w:tcPr>
          <w:p w14:paraId="6FE03026"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Immigrant situation</w:t>
            </w:r>
          </w:p>
        </w:tc>
        <w:tc>
          <w:tcPr>
            <w:tcW w:w="4422" w:type="dxa"/>
            <w:shd w:val="clear" w:color="auto" w:fill="auto"/>
          </w:tcPr>
          <w:p w14:paraId="06A41F50" w14:textId="77777777" w:rsidR="00691151" w:rsidRPr="007D4DDF" w:rsidRDefault="00691151" w:rsidP="00777703">
            <w:pPr>
              <w:pStyle w:val="Tables"/>
              <w:suppressAutoHyphens/>
              <w:spacing w:before="0" w:after="120" w:line="240" w:lineRule="auto"/>
              <w:rPr>
                <w:rFonts w:ascii="Times New Roman" w:hAnsi="Times New Roman"/>
                <w:color w:val="000000"/>
              </w:rPr>
            </w:pPr>
            <w:r w:rsidRPr="007D4DDF">
              <w:rPr>
                <w:rFonts w:ascii="Times New Roman" w:hAnsi="Times New Roman"/>
                <w:color w:val="000000"/>
              </w:rPr>
              <w:t>Refugee status / recent arrival</w:t>
            </w:r>
          </w:p>
        </w:tc>
      </w:tr>
    </w:tbl>
    <w:p w14:paraId="2168B641" w14:textId="77777777" w:rsidR="009E264F" w:rsidRPr="00440360" w:rsidRDefault="00691151" w:rsidP="009E264F">
      <w:pPr>
        <w:pStyle w:val="Tabellenunterschrift"/>
        <w:suppressAutoHyphens/>
        <w:spacing w:before="0" w:after="120" w:line="240" w:lineRule="auto"/>
        <w:jc w:val="both"/>
        <w:rPr>
          <w:rFonts w:ascii="Times New Roman" w:hAnsi="Times New Roman"/>
          <w:color w:val="000000"/>
          <w:sz w:val="20"/>
          <w:szCs w:val="20"/>
        </w:rPr>
      </w:pPr>
      <w:r w:rsidRPr="007D4DDF">
        <w:rPr>
          <w:rFonts w:ascii="Times New Roman" w:hAnsi="Times New Roman"/>
          <w:i/>
          <w:color w:val="000000"/>
          <w:sz w:val="20"/>
          <w:szCs w:val="20"/>
        </w:rPr>
        <w:t xml:space="preserve">Source: </w:t>
      </w:r>
      <w:r w:rsidR="009E264F" w:rsidRPr="00440360">
        <w:rPr>
          <w:rFonts w:ascii="Times New Roman" w:hAnsi="Times New Roman"/>
          <w:color w:val="000000"/>
          <w:sz w:val="20"/>
          <w:szCs w:val="20"/>
        </w:rPr>
        <w:t xml:space="preserve">Adapted from </w:t>
      </w:r>
      <w:r w:rsidR="009E264F" w:rsidRPr="00F143C6">
        <w:rPr>
          <w:rFonts w:ascii="Times New Roman" w:hAnsi="Times New Roman"/>
          <w:color w:val="000000"/>
          <w:sz w:val="20"/>
          <w:szCs w:val="20"/>
        </w:rPr>
        <w:t xml:space="preserve">W </w:t>
      </w:r>
      <w:r w:rsidR="009E264F" w:rsidRPr="00F143C6">
        <w:rPr>
          <w:rFonts w:ascii="Times New Roman" w:hAnsi="Times New Roman"/>
          <w:color w:val="000000"/>
          <w:sz w:val="20"/>
          <w:szCs w:val="20"/>
          <w:shd w:val="clear" w:color="auto" w:fill="FFFFFF"/>
        </w:rPr>
        <w:t xml:space="preserve">Edgar and H </w:t>
      </w:r>
      <w:proofErr w:type="spellStart"/>
      <w:r w:rsidR="009E264F" w:rsidRPr="00F143C6">
        <w:rPr>
          <w:rFonts w:ascii="Times New Roman" w:hAnsi="Times New Roman"/>
          <w:color w:val="000000"/>
          <w:sz w:val="20"/>
          <w:szCs w:val="20"/>
          <w:shd w:val="clear" w:color="auto" w:fill="FFFFFF"/>
        </w:rPr>
        <w:t>Meert</w:t>
      </w:r>
      <w:proofErr w:type="spellEnd"/>
      <w:r w:rsidR="009E264F" w:rsidRPr="00F143C6">
        <w:rPr>
          <w:rFonts w:ascii="Times New Roman" w:hAnsi="Times New Roman"/>
          <w:color w:val="000000"/>
          <w:sz w:val="20"/>
          <w:szCs w:val="20"/>
          <w:shd w:val="clear" w:color="auto" w:fill="FFFFFF"/>
        </w:rPr>
        <w:t xml:space="preserve"> (2005) </w:t>
      </w:r>
      <w:r w:rsidR="009E264F">
        <w:rPr>
          <w:rFonts w:ascii="Times New Roman" w:hAnsi="Times New Roman"/>
          <w:color w:val="000000"/>
          <w:sz w:val="20"/>
          <w:szCs w:val="20"/>
          <w:shd w:val="clear" w:color="auto" w:fill="FFFFFF"/>
        </w:rPr>
        <w:t>‘</w:t>
      </w:r>
      <w:r w:rsidR="009E264F" w:rsidRPr="00F143C6">
        <w:rPr>
          <w:rFonts w:ascii="Times New Roman" w:hAnsi="Times New Roman"/>
          <w:color w:val="000000"/>
          <w:sz w:val="20"/>
          <w:szCs w:val="20"/>
          <w:shd w:val="clear" w:color="auto" w:fill="FFFFFF"/>
        </w:rPr>
        <w:t>Fourth Review of Statistics on Homelessness in Europe. The ETHOS Definition of Homelessness</w:t>
      </w:r>
      <w:r w:rsidR="009E264F">
        <w:rPr>
          <w:rFonts w:ascii="Times New Roman" w:hAnsi="Times New Roman"/>
          <w:color w:val="000000"/>
          <w:sz w:val="20"/>
          <w:szCs w:val="20"/>
          <w:shd w:val="clear" w:color="auto" w:fill="FFFFFF"/>
        </w:rPr>
        <w:t>’</w:t>
      </w:r>
      <w:r w:rsidR="009E264F" w:rsidRPr="00F143C6">
        <w:rPr>
          <w:rFonts w:ascii="Times New Roman" w:hAnsi="Times New Roman"/>
          <w:color w:val="000000"/>
          <w:sz w:val="20"/>
          <w:szCs w:val="20"/>
          <w:shd w:val="clear" w:color="auto" w:fill="FFFFFF"/>
        </w:rPr>
        <w:t xml:space="preserve"> (Brussels, FEANTSA)</w:t>
      </w:r>
      <w:r w:rsidR="009E264F">
        <w:rPr>
          <w:rFonts w:ascii="Times New Roman" w:hAnsi="Times New Roman"/>
          <w:color w:val="000000"/>
          <w:sz w:val="20"/>
          <w:szCs w:val="20"/>
          <w:shd w:val="clear" w:color="auto" w:fill="FFFFFF"/>
        </w:rPr>
        <w:t>.</w:t>
      </w:r>
    </w:p>
    <w:p w14:paraId="4924983B" w14:textId="77777777" w:rsidR="001A4592" w:rsidRPr="007D4DDF" w:rsidRDefault="001A4592" w:rsidP="00395E14">
      <w:pPr>
        <w:pStyle w:val="Tabellenunterschrift"/>
        <w:suppressAutoHyphens/>
        <w:spacing w:before="0" w:after="120" w:line="240" w:lineRule="auto"/>
        <w:rPr>
          <w:rFonts w:ascii="Times New Roman" w:hAnsi="Times New Roman"/>
          <w:color w:val="000000"/>
          <w:sz w:val="20"/>
          <w:szCs w:val="20"/>
        </w:rPr>
      </w:pPr>
    </w:p>
    <w:p w14:paraId="03E45799" w14:textId="77777777" w:rsidR="001A4592" w:rsidRPr="007D4DDF" w:rsidRDefault="00691151"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Across the European Union, unemployment and financial instability in households are</w:t>
      </w:r>
      <w:r w:rsidR="00A30391" w:rsidRPr="007D4DDF">
        <w:rPr>
          <w:rFonts w:ascii="Times New Roman" w:hAnsi="Times New Roman"/>
          <w:color w:val="000000"/>
        </w:rPr>
        <w:t xml:space="preserve"> </w:t>
      </w:r>
      <w:r w:rsidRPr="007D4DDF">
        <w:rPr>
          <w:rFonts w:ascii="Times New Roman" w:hAnsi="Times New Roman"/>
          <w:color w:val="000000"/>
        </w:rPr>
        <w:t>highlighted as major risk factor</w:t>
      </w:r>
      <w:r w:rsidR="00855683" w:rsidRPr="007D4DDF">
        <w:rPr>
          <w:rFonts w:ascii="Times New Roman" w:hAnsi="Times New Roman"/>
          <w:color w:val="000000"/>
        </w:rPr>
        <w:t>s</w:t>
      </w:r>
      <w:r w:rsidRPr="007D4DDF">
        <w:rPr>
          <w:rFonts w:ascii="Times New Roman" w:hAnsi="Times New Roman"/>
          <w:color w:val="000000"/>
        </w:rPr>
        <w:t xml:space="preserve"> for eviction. The economic crisis since 2008 has reinforced this pattern, especially in the countries </w:t>
      </w:r>
      <w:r w:rsidR="00483CDD" w:rsidRPr="007D4DDF">
        <w:rPr>
          <w:rFonts w:ascii="Times New Roman" w:hAnsi="Times New Roman"/>
          <w:color w:val="000000"/>
        </w:rPr>
        <w:t xml:space="preserve">of </w:t>
      </w:r>
      <w:r w:rsidR="00FF0E14" w:rsidRPr="007D4DDF">
        <w:rPr>
          <w:rFonts w:ascii="Times New Roman" w:hAnsi="Times New Roman"/>
          <w:color w:val="000000"/>
        </w:rPr>
        <w:t xml:space="preserve">southern </w:t>
      </w:r>
      <w:r w:rsidR="006D4871" w:rsidRPr="007D4DDF">
        <w:rPr>
          <w:rFonts w:ascii="Times New Roman" w:hAnsi="Times New Roman"/>
          <w:color w:val="000000"/>
        </w:rPr>
        <w:t xml:space="preserve">Europe </w:t>
      </w:r>
      <w:r w:rsidRPr="007D4DDF">
        <w:rPr>
          <w:rFonts w:ascii="Times New Roman" w:hAnsi="Times New Roman"/>
          <w:color w:val="000000"/>
        </w:rPr>
        <w:t xml:space="preserve">and </w:t>
      </w:r>
      <w:r w:rsidR="006D4871" w:rsidRPr="007D4DDF">
        <w:rPr>
          <w:rFonts w:ascii="Times New Roman" w:hAnsi="Times New Roman"/>
          <w:color w:val="000000"/>
        </w:rPr>
        <w:t xml:space="preserve">the </w:t>
      </w:r>
      <w:r w:rsidRPr="007D4DDF">
        <w:rPr>
          <w:rFonts w:ascii="Times New Roman" w:hAnsi="Times New Roman"/>
          <w:color w:val="000000"/>
        </w:rPr>
        <w:t xml:space="preserve">parts of </w:t>
      </w:r>
      <w:r w:rsidR="006D4871" w:rsidRPr="007D4DDF">
        <w:rPr>
          <w:rFonts w:ascii="Times New Roman" w:hAnsi="Times New Roman"/>
          <w:color w:val="000000"/>
        </w:rPr>
        <w:t xml:space="preserve">the </w:t>
      </w:r>
      <w:r w:rsidRPr="007D4DDF">
        <w:rPr>
          <w:rFonts w:ascii="Times New Roman" w:hAnsi="Times New Roman"/>
          <w:color w:val="000000"/>
        </w:rPr>
        <w:t xml:space="preserve">Central and Eastern European </w:t>
      </w:r>
      <w:r w:rsidR="00396DAD" w:rsidRPr="007D4DDF">
        <w:rPr>
          <w:rFonts w:ascii="Times New Roman" w:hAnsi="Times New Roman"/>
          <w:color w:val="000000"/>
        </w:rPr>
        <w:t>Countrie</w:t>
      </w:r>
      <w:r w:rsidRPr="007D4DDF">
        <w:rPr>
          <w:rFonts w:ascii="Times New Roman" w:hAnsi="Times New Roman"/>
          <w:color w:val="000000"/>
        </w:rPr>
        <w:t>s (CEE</w:t>
      </w:r>
      <w:r w:rsidR="00FC3CE4" w:rsidRPr="007D4DDF">
        <w:rPr>
          <w:rFonts w:ascii="Times New Roman" w:hAnsi="Times New Roman"/>
          <w:color w:val="000000"/>
        </w:rPr>
        <w:t>Cs</w:t>
      </w:r>
      <w:r w:rsidRPr="007D4DDF">
        <w:rPr>
          <w:rFonts w:ascii="Times New Roman" w:hAnsi="Times New Roman"/>
          <w:color w:val="000000"/>
        </w:rPr>
        <w:t>)</w:t>
      </w:r>
      <w:r w:rsidR="00D719DB" w:rsidRPr="007D4DDF">
        <w:rPr>
          <w:rFonts w:ascii="Times New Roman" w:hAnsi="Times New Roman"/>
          <w:color w:val="000000"/>
        </w:rPr>
        <w:t xml:space="preserve"> that were most adversely affected by the crisis</w:t>
      </w:r>
      <w:r w:rsidRPr="007D4DDF">
        <w:rPr>
          <w:rFonts w:ascii="Times New Roman" w:hAnsi="Times New Roman"/>
          <w:color w:val="000000"/>
        </w:rPr>
        <w:t>.</w:t>
      </w:r>
      <w:r w:rsidRPr="007D4DDF">
        <w:rPr>
          <w:rStyle w:val="FootnoteReference"/>
          <w:rFonts w:ascii="Times New Roman" w:hAnsi="Times New Roman"/>
          <w:color w:val="000000"/>
        </w:rPr>
        <w:footnoteReference w:id="36"/>
      </w:r>
      <w:r w:rsidRPr="007D4DDF">
        <w:rPr>
          <w:rFonts w:ascii="Times New Roman" w:hAnsi="Times New Roman"/>
          <w:color w:val="000000"/>
        </w:rPr>
        <w:t xml:space="preserve"> The EU Pilot Project Report showed that in </w:t>
      </w:r>
      <w:r w:rsidR="00855683" w:rsidRPr="007D4DDF">
        <w:rPr>
          <w:rFonts w:ascii="Times New Roman" w:hAnsi="Times New Roman"/>
          <w:color w:val="000000"/>
        </w:rPr>
        <w:t xml:space="preserve">southern </w:t>
      </w:r>
      <w:r w:rsidRPr="007D4DDF">
        <w:rPr>
          <w:rFonts w:ascii="Times New Roman" w:hAnsi="Times New Roman"/>
          <w:color w:val="000000"/>
        </w:rPr>
        <w:t xml:space="preserve">Europe, evictions were associated mainly with unemployment and household breakdown, whereas in most CEE countries, evictions were associated primarily with more general poverty-related problems. In CEE Member States, low income and lack of savings, among both the working poor and people on subsistence benefits, are associated with the risk of eviction, in combination with the </w:t>
      </w:r>
      <w:proofErr w:type="gramStart"/>
      <w:r w:rsidRPr="007D4DDF">
        <w:rPr>
          <w:rFonts w:ascii="Times New Roman" w:hAnsi="Times New Roman"/>
          <w:color w:val="000000"/>
        </w:rPr>
        <w:t>often weaker</w:t>
      </w:r>
      <w:proofErr w:type="gramEnd"/>
      <w:r w:rsidRPr="007D4DDF">
        <w:rPr>
          <w:rFonts w:ascii="Times New Roman" w:hAnsi="Times New Roman"/>
          <w:color w:val="000000"/>
        </w:rPr>
        <w:t xml:space="preserve"> social protection systems</w:t>
      </w:r>
      <w:r w:rsidR="00D719DB" w:rsidRPr="007D4DDF">
        <w:rPr>
          <w:rFonts w:ascii="Times New Roman" w:hAnsi="Times New Roman"/>
          <w:color w:val="000000"/>
        </w:rPr>
        <w:t xml:space="preserve"> in those countries</w:t>
      </w:r>
      <w:r w:rsidRPr="007D4DDF">
        <w:rPr>
          <w:rFonts w:ascii="Times New Roman" w:hAnsi="Times New Roman"/>
          <w:color w:val="000000"/>
        </w:rPr>
        <w:t>. Rent and mortgage arrears, frequently related to consumer debt, in addition to utility arrears (often due to high heating costs in cold winters, especially in housing estates in need of renovation), are highlighted as important</w:t>
      </w:r>
      <w:r w:rsidR="00D719DB" w:rsidRPr="007D4DDF">
        <w:rPr>
          <w:rFonts w:ascii="Times New Roman" w:hAnsi="Times New Roman"/>
          <w:color w:val="000000"/>
        </w:rPr>
        <w:t xml:space="preserve"> or</w:t>
      </w:r>
      <w:r w:rsidRPr="007D4DDF">
        <w:rPr>
          <w:rFonts w:ascii="Times New Roman" w:hAnsi="Times New Roman"/>
          <w:color w:val="000000"/>
        </w:rPr>
        <w:t xml:space="preserve"> key reasons for evictions.</w:t>
      </w:r>
    </w:p>
    <w:p w14:paraId="6A0137C9" w14:textId="77777777" w:rsidR="001A4592" w:rsidRPr="007D4DDF" w:rsidRDefault="00691151"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In </w:t>
      </w:r>
      <w:r w:rsidR="00855683" w:rsidRPr="007D4DDF">
        <w:rPr>
          <w:rFonts w:ascii="Times New Roman" w:hAnsi="Times New Roman"/>
          <w:color w:val="000000"/>
        </w:rPr>
        <w:t xml:space="preserve">northern and western </w:t>
      </w:r>
      <w:r w:rsidRPr="007D4DDF">
        <w:rPr>
          <w:rFonts w:ascii="Times New Roman" w:hAnsi="Times New Roman"/>
          <w:color w:val="000000"/>
        </w:rPr>
        <w:t>European Member States,</w:t>
      </w:r>
      <w:r w:rsidRPr="007D4DDF">
        <w:rPr>
          <w:rStyle w:val="FootnoteReference"/>
          <w:rFonts w:ascii="Times New Roman" w:hAnsi="Times New Roman"/>
          <w:color w:val="000000"/>
        </w:rPr>
        <w:footnoteReference w:id="37"/>
      </w:r>
      <w:r w:rsidRPr="007D4DDF">
        <w:rPr>
          <w:rFonts w:ascii="Times New Roman" w:hAnsi="Times New Roman"/>
          <w:color w:val="000000"/>
        </w:rPr>
        <w:t xml:space="preserve"> unemployment, financial instability and household breakdown played a significant role in the risk factors for evictions. However, there is evidence of significant levels of eviction among individuals with complex support needs due to mental ill health and</w:t>
      </w:r>
      <w:r w:rsidR="00C8537A" w:rsidRPr="007D4DDF">
        <w:rPr>
          <w:rFonts w:ascii="Times New Roman" w:hAnsi="Times New Roman"/>
          <w:color w:val="000000"/>
        </w:rPr>
        <w:t xml:space="preserve"> substance abuse. These groups we</w:t>
      </w:r>
      <w:r w:rsidRPr="007D4DDF">
        <w:rPr>
          <w:rFonts w:ascii="Times New Roman" w:hAnsi="Times New Roman"/>
          <w:color w:val="000000"/>
        </w:rPr>
        <w:t xml:space="preserve">re prevalent among evicted people in the </w:t>
      </w:r>
      <w:r w:rsidR="00855683" w:rsidRPr="007D4DDF">
        <w:rPr>
          <w:rFonts w:ascii="Times New Roman" w:hAnsi="Times New Roman"/>
          <w:color w:val="000000"/>
        </w:rPr>
        <w:t xml:space="preserve">eastern and southern </w:t>
      </w:r>
      <w:r w:rsidRPr="007D4DDF">
        <w:rPr>
          <w:rFonts w:ascii="Times New Roman" w:hAnsi="Times New Roman"/>
          <w:color w:val="000000"/>
        </w:rPr>
        <w:t xml:space="preserve">European </w:t>
      </w:r>
      <w:r w:rsidR="006771D4" w:rsidRPr="007D4DDF">
        <w:rPr>
          <w:rFonts w:ascii="Times New Roman" w:hAnsi="Times New Roman"/>
          <w:color w:val="000000"/>
        </w:rPr>
        <w:t>s</w:t>
      </w:r>
      <w:r w:rsidRPr="007D4DDF">
        <w:rPr>
          <w:rFonts w:ascii="Times New Roman" w:hAnsi="Times New Roman"/>
          <w:color w:val="000000"/>
        </w:rPr>
        <w:t xml:space="preserve">tates too, but in these countries, more general poverty and unemployment problems are significant. This is a pattern which can be explained </w:t>
      </w:r>
      <w:r w:rsidR="00D719DB" w:rsidRPr="007D4DDF">
        <w:rPr>
          <w:rFonts w:ascii="Times New Roman" w:hAnsi="Times New Roman"/>
          <w:color w:val="000000"/>
        </w:rPr>
        <w:t>by</w:t>
      </w:r>
      <w:r w:rsidRPr="007D4DDF">
        <w:rPr>
          <w:rFonts w:ascii="Times New Roman" w:hAnsi="Times New Roman"/>
          <w:color w:val="000000"/>
        </w:rPr>
        <w:t xml:space="preserve"> the variations in general economic conditions and the welfare systems in these countries.</w:t>
      </w:r>
    </w:p>
    <w:p w14:paraId="4BC6047E" w14:textId="77777777" w:rsidR="00882A89" w:rsidRPr="007D4DDF" w:rsidRDefault="00882A89" w:rsidP="00777703">
      <w:pPr>
        <w:pStyle w:val="normal12"/>
        <w:suppressAutoHyphens/>
        <w:spacing w:before="0" w:line="240" w:lineRule="auto"/>
        <w:jc w:val="left"/>
        <w:rPr>
          <w:rFonts w:ascii="Times New Roman" w:hAnsi="Times New Roman"/>
          <w:color w:val="000000"/>
        </w:rPr>
      </w:pPr>
    </w:p>
    <w:p w14:paraId="06A733E3" w14:textId="1AB40526" w:rsidR="001A4592" w:rsidRPr="007D4DDF" w:rsidRDefault="00FC3CE4" w:rsidP="00395E14">
      <w:pPr>
        <w:pStyle w:val="Heading2"/>
        <w:spacing w:before="0" w:after="120" w:line="240" w:lineRule="auto"/>
        <w:rPr>
          <w:rFonts w:ascii="Times New Roman" w:hAnsi="Times New Roman"/>
        </w:rPr>
      </w:pPr>
      <w:bookmarkStart w:id="5" w:name="_Toc508191193"/>
      <w:r w:rsidRPr="007D4DDF">
        <w:rPr>
          <w:rFonts w:ascii="Times New Roman" w:hAnsi="Times New Roman"/>
        </w:rPr>
        <w:t>2.2</w:t>
      </w:r>
      <w:r w:rsidR="006E160F">
        <w:rPr>
          <w:rFonts w:ascii="Times New Roman" w:hAnsi="Times New Roman"/>
        </w:rPr>
        <w:t>.</w:t>
      </w:r>
      <w:r w:rsidR="005653E8">
        <w:rPr>
          <w:rFonts w:ascii="Times New Roman" w:hAnsi="Times New Roman"/>
        </w:rPr>
        <w:t xml:space="preserve"> </w:t>
      </w:r>
      <w:r w:rsidR="00A70146" w:rsidRPr="007D4DDF">
        <w:rPr>
          <w:rFonts w:ascii="Times New Roman" w:hAnsi="Times New Roman"/>
        </w:rPr>
        <w:t xml:space="preserve">Structural/societal </w:t>
      </w:r>
      <w:r w:rsidR="00CF1378" w:rsidRPr="007D4DDF">
        <w:rPr>
          <w:rFonts w:ascii="Times New Roman" w:hAnsi="Times New Roman"/>
        </w:rPr>
        <w:t>F</w:t>
      </w:r>
      <w:r w:rsidR="00A70146" w:rsidRPr="007D4DDF">
        <w:rPr>
          <w:rFonts w:ascii="Times New Roman" w:hAnsi="Times New Roman"/>
        </w:rPr>
        <w:t xml:space="preserve">actors </w:t>
      </w:r>
      <w:r w:rsidRPr="007D4DDF">
        <w:rPr>
          <w:rFonts w:ascii="Times New Roman" w:hAnsi="Times New Roman"/>
        </w:rPr>
        <w:t>R</w:t>
      </w:r>
      <w:r w:rsidR="00A70146" w:rsidRPr="007D4DDF">
        <w:rPr>
          <w:rFonts w:ascii="Times New Roman" w:hAnsi="Times New Roman"/>
        </w:rPr>
        <w:t xml:space="preserve">elated to </w:t>
      </w:r>
      <w:r w:rsidRPr="007D4DDF">
        <w:rPr>
          <w:rFonts w:ascii="Times New Roman" w:hAnsi="Times New Roman"/>
        </w:rPr>
        <w:t>E</w:t>
      </w:r>
      <w:r w:rsidR="00A70146" w:rsidRPr="007D4DDF">
        <w:rPr>
          <w:rFonts w:ascii="Times New Roman" w:hAnsi="Times New Roman"/>
        </w:rPr>
        <w:t xml:space="preserve">victions in the </w:t>
      </w:r>
      <w:r w:rsidRPr="007D4DDF">
        <w:rPr>
          <w:rFonts w:ascii="Times New Roman" w:hAnsi="Times New Roman"/>
        </w:rPr>
        <w:t>S</w:t>
      </w:r>
      <w:r w:rsidR="00A70146" w:rsidRPr="007D4DDF">
        <w:rPr>
          <w:rFonts w:ascii="Times New Roman" w:hAnsi="Times New Roman"/>
        </w:rPr>
        <w:t xml:space="preserve">elected </w:t>
      </w:r>
      <w:r w:rsidRPr="007D4DDF">
        <w:rPr>
          <w:rFonts w:ascii="Times New Roman" w:hAnsi="Times New Roman"/>
        </w:rPr>
        <w:t>C</w:t>
      </w:r>
      <w:r w:rsidR="00A70146" w:rsidRPr="007D4DDF">
        <w:rPr>
          <w:rFonts w:ascii="Times New Roman" w:hAnsi="Times New Roman"/>
        </w:rPr>
        <w:t>ountries</w:t>
      </w:r>
      <w:bookmarkEnd w:id="5"/>
    </w:p>
    <w:p w14:paraId="577E4456" w14:textId="77777777" w:rsidR="00200ABF" w:rsidRPr="007D4DDF" w:rsidRDefault="00200ABF" w:rsidP="00777703">
      <w:pPr>
        <w:spacing w:before="0" w:after="120" w:line="240" w:lineRule="auto"/>
        <w:rPr>
          <w:color w:val="000000"/>
          <w:szCs w:val="24"/>
        </w:rPr>
      </w:pPr>
      <w:r w:rsidRPr="007D4DDF">
        <w:rPr>
          <w:color w:val="000000"/>
          <w:szCs w:val="24"/>
        </w:rPr>
        <w:t xml:space="preserve">UN Habitat has pointed out that the </w:t>
      </w:r>
      <w:r w:rsidR="007D4DDF" w:rsidRPr="007D4DDF">
        <w:rPr>
          <w:color w:val="000000"/>
          <w:szCs w:val="24"/>
        </w:rPr>
        <w:t>commoditi</w:t>
      </w:r>
      <w:r w:rsidR="007D4DDF">
        <w:rPr>
          <w:color w:val="000000"/>
          <w:szCs w:val="24"/>
        </w:rPr>
        <w:t>z</w:t>
      </w:r>
      <w:r w:rsidR="007D4DDF" w:rsidRPr="007D4DDF">
        <w:rPr>
          <w:color w:val="000000"/>
          <w:szCs w:val="24"/>
        </w:rPr>
        <w:t xml:space="preserve">ation </w:t>
      </w:r>
      <w:r w:rsidRPr="007D4DDF">
        <w:rPr>
          <w:color w:val="000000"/>
          <w:szCs w:val="24"/>
        </w:rPr>
        <w:t xml:space="preserve">of housing has strengthened the perception of shelter as a speculative financial asset, generating an artificial sense of </w:t>
      </w:r>
      <w:r w:rsidRPr="007D4DDF">
        <w:rPr>
          <w:color w:val="000000"/>
          <w:szCs w:val="24"/>
        </w:rPr>
        <w:lastRenderedPageBreak/>
        <w:t>wealth and an unsustainable cycle of debt, which culminated in the housing foreclosure crisis and the global economic downturn of 2007–2009.</w:t>
      </w:r>
      <w:r w:rsidRPr="007D4DDF">
        <w:rPr>
          <w:rStyle w:val="FootnoteReference"/>
          <w:color w:val="000000"/>
          <w:szCs w:val="24"/>
        </w:rPr>
        <w:footnoteReference w:id="38"/>
      </w:r>
      <w:r w:rsidRPr="007D4DDF">
        <w:rPr>
          <w:color w:val="000000"/>
          <w:szCs w:val="24"/>
        </w:rPr>
        <w:t xml:space="preserve"> </w:t>
      </w:r>
    </w:p>
    <w:p w14:paraId="22106BEA" w14:textId="443136CA" w:rsidR="00200ABF" w:rsidRPr="007D4DDF" w:rsidRDefault="00200ABF" w:rsidP="00777703">
      <w:pPr>
        <w:spacing w:before="0" w:after="120" w:line="240" w:lineRule="auto"/>
        <w:ind w:left="720"/>
        <w:rPr>
          <w:color w:val="000000"/>
          <w:szCs w:val="24"/>
        </w:rPr>
      </w:pPr>
      <w:r w:rsidRPr="007D4DDF">
        <w:rPr>
          <w:color w:val="000000"/>
          <w:sz w:val="22"/>
        </w:rPr>
        <w:t>Land and housing markets have reproduced this speculative practice in the urban domain reinforcing instead of attenuating socioeconomic and spatial inequalities. The challenges to create, preserve and improve affordable housing have grown across the globe. Indeed, this is one of the most critical problems of housing today with an increasing number of households in developing and developed country cities financially stretched by housing costs.</w:t>
      </w:r>
      <w:r w:rsidRPr="007D4DDF">
        <w:rPr>
          <w:rStyle w:val="FootnoteReference"/>
          <w:color w:val="000000"/>
          <w:szCs w:val="24"/>
        </w:rPr>
        <w:footnoteReference w:id="39"/>
      </w:r>
    </w:p>
    <w:p w14:paraId="6B08AD39" w14:textId="77777777" w:rsidR="001A4592" w:rsidRPr="007D4DDF" w:rsidRDefault="00200ABF" w:rsidP="00777703">
      <w:pPr>
        <w:spacing w:before="0" w:after="120" w:line="240" w:lineRule="auto"/>
        <w:rPr>
          <w:color w:val="000000"/>
          <w:szCs w:val="24"/>
        </w:rPr>
      </w:pPr>
      <w:r w:rsidRPr="007D4DDF">
        <w:rPr>
          <w:color w:val="000000"/>
          <w:szCs w:val="24"/>
        </w:rPr>
        <w:t xml:space="preserve">Across Europe, there are similar </w:t>
      </w:r>
      <w:r w:rsidR="00D06BC2" w:rsidRPr="007D4DDF">
        <w:rPr>
          <w:color w:val="000000"/>
          <w:szCs w:val="24"/>
        </w:rPr>
        <w:t>reports of structural challenges around expensive housing markets. The lack of affordable housing in larger cities exacerbates the financial problems of many low-income families. It forces them into housing they can barely afford, which also increases their risk of rent arrears. Moreover, changes in demographic</w:t>
      </w:r>
      <w:r w:rsidR="00D719DB" w:rsidRPr="007D4DDF">
        <w:rPr>
          <w:color w:val="000000"/>
          <w:szCs w:val="24"/>
        </w:rPr>
        <w:t>s</w:t>
      </w:r>
      <w:r w:rsidR="00D06BC2" w:rsidRPr="007D4DDF">
        <w:rPr>
          <w:color w:val="000000"/>
          <w:szCs w:val="24"/>
        </w:rPr>
        <w:t xml:space="preserve"> and household composition reinforce the structural lack of affordable housing, as more and more households </w:t>
      </w:r>
      <w:r w:rsidR="00D719DB" w:rsidRPr="007D4DDF">
        <w:rPr>
          <w:color w:val="000000"/>
          <w:szCs w:val="24"/>
        </w:rPr>
        <w:t>become</w:t>
      </w:r>
      <w:r w:rsidR="00D06BC2" w:rsidRPr="007D4DDF">
        <w:rPr>
          <w:color w:val="000000"/>
          <w:szCs w:val="24"/>
        </w:rPr>
        <w:t xml:space="preserve"> single-person households, creat</w:t>
      </w:r>
      <w:r w:rsidR="00D719DB" w:rsidRPr="007D4DDF">
        <w:rPr>
          <w:color w:val="000000"/>
          <w:szCs w:val="24"/>
        </w:rPr>
        <w:t>ing</w:t>
      </w:r>
      <w:r w:rsidR="00D06BC2" w:rsidRPr="007D4DDF">
        <w:rPr>
          <w:color w:val="000000"/>
          <w:szCs w:val="24"/>
        </w:rPr>
        <w:t xml:space="preserve"> a need for additional housing. A shortage of social housing, with lengthy waiting lists in many countries, forces low-income and vulnerable households into the private rental markets, where, depending on the market situation and legal regulations, increasing rent levels limit their options, and enhance the risk of eviction</w:t>
      </w:r>
      <w:r w:rsidR="00D719DB" w:rsidRPr="007D4DDF">
        <w:rPr>
          <w:color w:val="000000"/>
          <w:szCs w:val="24"/>
        </w:rPr>
        <w:t>.</w:t>
      </w:r>
    </w:p>
    <w:p w14:paraId="46EA4CE8" w14:textId="77777777" w:rsidR="001A4592" w:rsidRPr="007D4DDF" w:rsidRDefault="00A70146" w:rsidP="00777703">
      <w:pPr>
        <w:spacing w:before="0" w:after="120" w:line="240" w:lineRule="auto"/>
        <w:rPr>
          <w:szCs w:val="24"/>
        </w:rPr>
      </w:pPr>
      <w:r w:rsidRPr="007D4DDF">
        <w:rPr>
          <w:szCs w:val="24"/>
        </w:rPr>
        <w:t xml:space="preserve">Housing affordability can </w:t>
      </w:r>
      <w:r w:rsidR="00D06BC2" w:rsidRPr="007D4DDF">
        <w:rPr>
          <w:szCs w:val="24"/>
        </w:rPr>
        <w:t xml:space="preserve">also </w:t>
      </w:r>
      <w:r w:rsidRPr="007D4DDF">
        <w:rPr>
          <w:szCs w:val="24"/>
        </w:rPr>
        <w:t xml:space="preserve">be a key factor in the pathway to evictions. In 2015, an 11.3 per cent share of the EU-28 population lived in households that spent 40 per cent or more of their </w:t>
      </w:r>
      <w:r w:rsidR="009134ED" w:rsidRPr="007D4DDF">
        <w:rPr>
          <w:szCs w:val="24"/>
        </w:rPr>
        <w:t>equivali</w:t>
      </w:r>
      <w:r w:rsidR="009134ED">
        <w:rPr>
          <w:szCs w:val="24"/>
        </w:rPr>
        <w:t>z</w:t>
      </w:r>
      <w:r w:rsidR="009134ED" w:rsidRPr="007D4DDF">
        <w:rPr>
          <w:szCs w:val="24"/>
        </w:rPr>
        <w:t xml:space="preserve">ed </w:t>
      </w:r>
      <w:r w:rsidRPr="007D4DDF">
        <w:rPr>
          <w:szCs w:val="24"/>
        </w:rPr>
        <w:t>disposable income on housing. The proportion of the population whose housing costs exceeded 40 per cent of their equivali</w:t>
      </w:r>
      <w:r w:rsidR="009134ED">
        <w:rPr>
          <w:szCs w:val="24"/>
        </w:rPr>
        <w:t>z</w:t>
      </w:r>
      <w:r w:rsidRPr="007D4DDF">
        <w:rPr>
          <w:szCs w:val="24"/>
        </w:rPr>
        <w:t>ed disposable income was highest for tenants with market price rents (27.0 per cent), and lowest for persons in owner-occupied dwellings without a loan or mortgage (6.7 per cent).</w:t>
      </w:r>
      <w:r w:rsidRPr="007D4DDF">
        <w:rPr>
          <w:rStyle w:val="FootnoteReference"/>
          <w:szCs w:val="24"/>
        </w:rPr>
        <w:footnoteReference w:id="40"/>
      </w:r>
      <w:r w:rsidRPr="007D4DDF">
        <w:rPr>
          <w:szCs w:val="24"/>
        </w:rPr>
        <w:t xml:space="preserve"> The EU-28 average masks significant differences between the EU Member States</w:t>
      </w:r>
      <w:r w:rsidR="00C8537A" w:rsidRPr="007D4DDF">
        <w:rPr>
          <w:szCs w:val="24"/>
        </w:rPr>
        <w:t>. A</w:t>
      </w:r>
      <w:r w:rsidRPr="007D4DDF">
        <w:rPr>
          <w:szCs w:val="24"/>
        </w:rPr>
        <w:t>t one extreme</w:t>
      </w:r>
      <w:r w:rsidR="00A650C0" w:rsidRPr="007D4DDF">
        <w:rPr>
          <w:szCs w:val="24"/>
        </w:rPr>
        <w:t>,</w:t>
      </w:r>
      <w:r w:rsidRPr="007D4DDF">
        <w:rPr>
          <w:szCs w:val="24"/>
        </w:rPr>
        <w:t xml:space="preserve"> there were a number of countries where a relatively small proportion of the population lived in households where housing costs exceeded 40 per cent of their disposable income, notably Malta (1.1 per cent), Cyprus (3.9 per cent), Ireland (4.6 per cent) and Finland (4.9 per cent). At the other extreme, just over two out of every five people (40.9 per cent) in Greece and just under one in six of the population in Romania (15.9 per cent), Germany (15.6 per cent) and Denmark (15.1 per cent)</w:t>
      </w:r>
      <w:r w:rsidR="00A650C0" w:rsidRPr="007D4DDF">
        <w:rPr>
          <w:szCs w:val="24"/>
        </w:rPr>
        <w:t>,</w:t>
      </w:r>
      <w:r w:rsidRPr="007D4DDF">
        <w:rPr>
          <w:szCs w:val="24"/>
        </w:rPr>
        <w:t xml:space="preserve"> spent more than 40 per cent of their </w:t>
      </w:r>
      <w:r w:rsidR="009134ED" w:rsidRPr="007D4DDF">
        <w:rPr>
          <w:szCs w:val="24"/>
        </w:rPr>
        <w:t>equivali</w:t>
      </w:r>
      <w:r w:rsidR="009134ED">
        <w:rPr>
          <w:szCs w:val="24"/>
        </w:rPr>
        <w:t>z</w:t>
      </w:r>
      <w:r w:rsidR="009134ED" w:rsidRPr="007D4DDF">
        <w:rPr>
          <w:szCs w:val="24"/>
        </w:rPr>
        <w:t xml:space="preserve">ed </w:t>
      </w:r>
      <w:r w:rsidRPr="007D4DDF">
        <w:rPr>
          <w:szCs w:val="24"/>
        </w:rPr>
        <w:t>disposable income on housing.</w:t>
      </w:r>
    </w:p>
    <w:p w14:paraId="25953B05" w14:textId="77777777" w:rsidR="001A4592" w:rsidRPr="007D4DDF" w:rsidRDefault="00C8537A" w:rsidP="00777703">
      <w:pPr>
        <w:spacing w:before="0" w:after="120" w:line="240" w:lineRule="auto"/>
        <w:rPr>
          <w:color w:val="000000"/>
          <w:szCs w:val="24"/>
        </w:rPr>
      </w:pPr>
      <w:r w:rsidRPr="007D4DDF">
        <w:rPr>
          <w:color w:val="000000"/>
          <w:szCs w:val="24"/>
        </w:rPr>
        <w:t xml:space="preserve">Social housing has traditionally provided affordable housing to those on low incomes. It </w:t>
      </w:r>
      <w:r w:rsidR="00D06BC2" w:rsidRPr="007D4DDF">
        <w:rPr>
          <w:color w:val="000000"/>
          <w:szCs w:val="24"/>
        </w:rPr>
        <w:t xml:space="preserve">has a long history in Europe, where it has </w:t>
      </w:r>
      <w:r w:rsidRPr="007D4DDF">
        <w:rPr>
          <w:color w:val="000000"/>
          <w:szCs w:val="24"/>
        </w:rPr>
        <w:t xml:space="preserve">also </w:t>
      </w:r>
      <w:r w:rsidR="00D06BC2" w:rsidRPr="007D4DDF">
        <w:rPr>
          <w:color w:val="000000"/>
          <w:szCs w:val="24"/>
        </w:rPr>
        <w:t>played a vital role in the economy, in regeneration and in meeting housing need.</w:t>
      </w:r>
      <w:r w:rsidR="00D06BC2" w:rsidRPr="007D4DDF">
        <w:rPr>
          <w:rStyle w:val="FootnoteReference"/>
          <w:color w:val="000000"/>
          <w:szCs w:val="24"/>
        </w:rPr>
        <w:footnoteReference w:id="41"/>
      </w:r>
      <w:r w:rsidR="00D06BC2" w:rsidRPr="007D4DDF">
        <w:rPr>
          <w:color w:val="000000"/>
          <w:szCs w:val="24"/>
        </w:rPr>
        <w:t xml:space="preserve"> </w:t>
      </w:r>
      <w:r w:rsidRPr="007D4DDF">
        <w:rPr>
          <w:color w:val="000000"/>
          <w:szCs w:val="24"/>
        </w:rPr>
        <w:t>However, a</w:t>
      </w:r>
      <w:r w:rsidR="00D06BC2" w:rsidRPr="007D4DDF">
        <w:rPr>
          <w:color w:val="000000"/>
          <w:szCs w:val="24"/>
        </w:rPr>
        <w:t xml:space="preserve"> report by the European </w:t>
      </w:r>
      <w:r w:rsidR="00D06BC2" w:rsidRPr="007D4DDF">
        <w:rPr>
          <w:color w:val="000000"/>
          <w:szCs w:val="24"/>
        </w:rPr>
        <w:lastRenderedPageBreak/>
        <w:t>Parliament in 2013 show</w:t>
      </w:r>
      <w:r w:rsidR="00D107C3">
        <w:rPr>
          <w:color w:val="000000"/>
          <w:szCs w:val="24"/>
        </w:rPr>
        <w:t>ed</w:t>
      </w:r>
      <w:r w:rsidR="00D06BC2" w:rsidRPr="007D4DDF">
        <w:rPr>
          <w:color w:val="000000"/>
          <w:szCs w:val="24"/>
        </w:rPr>
        <w:t xml:space="preserve"> that </w:t>
      </w:r>
      <w:r w:rsidR="004F6D47" w:rsidRPr="007D4DDF">
        <w:rPr>
          <w:color w:val="000000"/>
          <w:szCs w:val="24"/>
        </w:rPr>
        <w:t>s</w:t>
      </w:r>
      <w:r w:rsidR="00D06BC2" w:rsidRPr="007D4DDF">
        <w:rPr>
          <w:color w:val="000000"/>
          <w:szCs w:val="24"/>
        </w:rPr>
        <w:t xml:space="preserve">tate budgets dedicated to housing policies </w:t>
      </w:r>
      <w:r w:rsidR="00D107C3">
        <w:rPr>
          <w:color w:val="000000"/>
          <w:szCs w:val="24"/>
        </w:rPr>
        <w:t xml:space="preserve">were </w:t>
      </w:r>
      <w:r w:rsidR="00D06BC2" w:rsidRPr="007D4DDF">
        <w:rPr>
          <w:color w:val="000000"/>
          <w:szCs w:val="24"/>
        </w:rPr>
        <w:t>significantly reduced in a number of countries.</w:t>
      </w:r>
      <w:r w:rsidR="00D06BC2" w:rsidRPr="007D4DDF">
        <w:rPr>
          <w:rStyle w:val="FootnoteReference"/>
          <w:color w:val="000000"/>
          <w:szCs w:val="24"/>
        </w:rPr>
        <w:footnoteReference w:id="42"/>
      </w:r>
    </w:p>
    <w:p w14:paraId="69060761" w14:textId="77777777" w:rsidR="001A4592" w:rsidRPr="007D4DDF" w:rsidRDefault="00A70146" w:rsidP="00395E14">
      <w:pPr>
        <w:spacing w:before="0" w:after="120" w:line="240" w:lineRule="auto"/>
        <w:rPr>
          <w:szCs w:val="24"/>
        </w:rPr>
      </w:pPr>
      <w:r w:rsidRPr="007D4DDF">
        <w:rPr>
          <w:color w:val="000000"/>
          <w:szCs w:val="24"/>
        </w:rPr>
        <w:t xml:space="preserve">Jana </w:t>
      </w:r>
      <w:proofErr w:type="spellStart"/>
      <w:r w:rsidRPr="007D4DDF">
        <w:rPr>
          <w:color w:val="000000"/>
          <w:szCs w:val="24"/>
        </w:rPr>
        <w:t>Verstraete</w:t>
      </w:r>
      <w:proofErr w:type="spellEnd"/>
      <w:r w:rsidRPr="007D4DDF">
        <w:rPr>
          <w:color w:val="000000"/>
          <w:szCs w:val="24"/>
        </w:rPr>
        <w:t xml:space="preserve">, Pascal De Decker and </w:t>
      </w:r>
      <w:proofErr w:type="spellStart"/>
      <w:r w:rsidRPr="007D4DDF">
        <w:rPr>
          <w:color w:val="000000"/>
          <w:szCs w:val="24"/>
        </w:rPr>
        <w:t>Diederik</w:t>
      </w:r>
      <w:proofErr w:type="spellEnd"/>
      <w:r w:rsidRPr="007D4DDF">
        <w:rPr>
          <w:color w:val="000000"/>
          <w:szCs w:val="24"/>
        </w:rPr>
        <w:t xml:space="preserve"> </w:t>
      </w:r>
      <w:proofErr w:type="spellStart"/>
      <w:r w:rsidRPr="007D4DDF">
        <w:rPr>
          <w:color w:val="000000"/>
          <w:szCs w:val="24"/>
        </w:rPr>
        <w:t>Vermeir</w:t>
      </w:r>
      <w:proofErr w:type="spellEnd"/>
      <w:r w:rsidRPr="007D4DDF">
        <w:rPr>
          <w:color w:val="000000"/>
          <w:szCs w:val="24"/>
        </w:rPr>
        <w:t xml:space="preserve"> point out that in Belgium,</w:t>
      </w:r>
      <w:r w:rsidRPr="007D4DDF">
        <w:rPr>
          <w:szCs w:val="24"/>
        </w:rPr>
        <w:t xml:space="preserve"> a high level of rented housing is occupied by low</w:t>
      </w:r>
      <w:r w:rsidR="00112951" w:rsidRPr="007D4DDF">
        <w:rPr>
          <w:szCs w:val="24"/>
        </w:rPr>
        <w:t>-</w:t>
      </w:r>
      <w:r w:rsidRPr="007D4DDF">
        <w:rPr>
          <w:szCs w:val="24"/>
        </w:rPr>
        <w:t xml:space="preserve">income households (who cannot afford to buy), and these tenants bear a high rent burden. Private rented housing is regarded as a tenure of last resort, although some </w:t>
      </w:r>
      <w:r w:rsidR="00E95137" w:rsidRPr="007D4DDF">
        <w:rPr>
          <w:szCs w:val="24"/>
        </w:rPr>
        <w:t>‘</w:t>
      </w:r>
      <w:r w:rsidRPr="007D4DDF">
        <w:rPr>
          <w:szCs w:val="24"/>
        </w:rPr>
        <w:t>buyers under duress</w:t>
      </w:r>
      <w:r w:rsidR="00E95137" w:rsidRPr="007D4DDF">
        <w:rPr>
          <w:szCs w:val="24"/>
        </w:rPr>
        <w:t>’</w:t>
      </w:r>
      <w:r w:rsidRPr="007D4DDF">
        <w:rPr>
          <w:szCs w:val="24"/>
        </w:rPr>
        <w:t xml:space="preserve"> purchase inferior quality dwellings and cannot then afford to make necessary improvements. </w:t>
      </w:r>
      <w:r w:rsidR="00C8537A" w:rsidRPr="007D4DDF">
        <w:rPr>
          <w:szCs w:val="24"/>
        </w:rPr>
        <w:t xml:space="preserve">One-third of social renters cannot afford a dignified lifestyle after rental costs. </w:t>
      </w:r>
      <w:r w:rsidRPr="007D4DDF">
        <w:rPr>
          <w:szCs w:val="24"/>
        </w:rPr>
        <w:t xml:space="preserve">Marc </w:t>
      </w:r>
      <w:proofErr w:type="spellStart"/>
      <w:r w:rsidRPr="007D4DDF">
        <w:rPr>
          <w:szCs w:val="24"/>
        </w:rPr>
        <w:t>Uhry</w:t>
      </w:r>
      <w:proofErr w:type="spellEnd"/>
      <w:r w:rsidRPr="007D4DDF">
        <w:rPr>
          <w:szCs w:val="24"/>
        </w:rPr>
        <w:t xml:space="preserve"> suggests that </w:t>
      </w:r>
      <w:r w:rsidR="004F6D47" w:rsidRPr="007D4DDF">
        <w:rPr>
          <w:szCs w:val="24"/>
        </w:rPr>
        <w:t xml:space="preserve">in France </w:t>
      </w:r>
      <w:r w:rsidRPr="007D4DDF">
        <w:rPr>
          <w:szCs w:val="24"/>
        </w:rPr>
        <w:t xml:space="preserve">prevention of evictions has been part of social policy for many decades, although recent decades have seen the emergence of new challenges </w:t>
      </w:r>
      <w:r w:rsidR="004F6D47" w:rsidRPr="007D4DDF">
        <w:rPr>
          <w:szCs w:val="24"/>
        </w:rPr>
        <w:t>in the form of</w:t>
      </w:r>
      <w:r w:rsidRPr="007D4DDF">
        <w:rPr>
          <w:szCs w:val="24"/>
        </w:rPr>
        <w:t xml:space="preserve"> undocumented migrants and the development of squats and slums.</w:t>
      </w:r>
      <w:r w:rsidRPr="007D4DDF">
        <w:rPr>
          <w:rStyle w:val="FootnoteReference"/>
          <w:szCs w:val="24"/>
        </w:rPr>
        <w:footnoteReference w:id="43"/>
      </w:r>
      <w:r w:rsidRPr="007D4DDF">
        <w:rPr>
          <w:szCs w:val="24"/>
        </w:rPr>
        <w:t xml:space="preserve"> Mortgage lenders are </w:t>
      </w:r>
      <w:r w:rsidR="00C8537A" w:rsidRPr="007D4DDF">
        <w:rPr>
          <w:szCs w:val="24"/>
        </w:rPr>
        <w:t xml:space="preserve">held </w:t>
      </w:r>
      <w:r w:rsidR="00EF7833" w:rsidRPr="007D4DDF">
        <w:rPr>
          <w:szCs w:val="24"/>
        </w:rPr>
        <w:t xml:space="preserve">liable </w:t>
      </w:r>
      <w:r w:rsidRPr="007D4DDF">
        <w:rPr>
          <w:szCs w:val="24"/>
        </w:rPr>
        <w:t xml:space="preserve">for </w:t>
      </w:r>
      <w:r w:rsidR="00C8537A" w:rsidRPr="007D4DDF">
        <w:rPr>
          <w:szCs w:val="24"/>
        </w:rPr>
        <w:t xml:space="preserve">their </w:t>
      </w:r>
      <w:r w:rsidR="00657795" w:rsidRPr="007D4DDF">
        <w:rPr>
          <w:szCs w:val="24"/>
        </w:rPr>
        <w:t>‘</w:t>
      </w:r>
      <w:r w:rsidRPr="007D4DDF">
        <w:rPr>
          <w:szCs w:val="24"/>
        </w:rPr>
        <w:t>irre</w:t>
      </w:r>
      <w:r w:rsidR="00132C54" w:rsidRPr="007D4DDF">
        <w:rPr>
          <w:szCs w:val="24"/>
        </w:rPr>
        <w:t>sponsible</w:t>
      </w:r>
      <w:r w:rsidRPr="007D4DDF">
        <w:rPr>
          <w:szCs w:val="24"/>
        </w:rPr>
        <w:t xml:space="preserve"> lending</w:t>
      </w:r>
      <w:r w:rsidR="00657795" w:rsidRPr="007D4DDF">
        <w:rPr>
          <w:szCs w:val="24"/>
        </w:rPr>
        <w:t>’</w:t>
      </w:r>
      <w:r w:rsidRPr="007D4DDF">
        <w:rPr>
          <w:szCs w:val="24"/>
        </w:rPr>
        <w:t>, and accordingly,</w:t>
      </w:r>
      <w:r w:rsidR="00A30391" w:rsidRPr="007D4DDF">
        <w:rPr>
          <w:szCs w:val="24"/>
        </w:rPr>
        <w:t xml:space="preserve"> </w:t>
      </w:r>
      <w:r w:rsidRPr="007D4DDF">
        <w:rPr>
          <w:szCs w:val="24"/>
        </w:rPr>
        <w:t xml:space="preserve">there are low levels of mortgage possession cases in France. The social effects of the banking crisis of 2008 were delayed in France; there was no house price collapse </w:t>
      </w:r>
      <w:r w:rsidR="00D06BC2" w:rsidRPr="007D4DDF">
        <w:rPr>
          <w:szCs w:val="24"/>
        </w:rPr>
        <w:t xml:space="preserve">or </w:t>
      </w:r>
      <w:r w:rsidRPr="007D4DDF">
        <w:rPr>
          <w:szCs w:val="24"/>
        </w:rPr>
        <w:t>rise in interest rates</w:t>
      </w:r>
      <w:r w:rsidR="00D06BC2" w:rsidRPr="007D4DDF">
        <w:rPr>
          <w:szCs w:val="24"/>
        </w:rPr>
        <w:t>,</w:t>
      </w:r>
      <w:r w:rsidRPr="007D4DDF">
        <w:rPr>
          <w:szCs w:val="24"/>
        </w:rPr>
        <w:t xml:space="preserve"> and only a gradual increase in unemployment.</w:t>
      </w:r>
    </w:p>
    <w:p w14:paraId="275608E7" w14:textId="77777777" w:rsidR="001A4592" w:rsidRPr="007D4DDF" w:rsidRDefault="00A70146" w:rsidP="00777703">
      <w:pPr>
        <w:spacing w:before="0" w:after="120" w:line="240" w:lineRule="auto"/>
        <w:rPr>
          <w:szCs w:val="24"/>
        </w:rPr>
      </w:pPr>
      <w:r w:rsidRPr="007D4DDF">
        <w:rPr>
          <w:szCs w:val="24"/>
        </w:rPr>
        <w:t xml:space="preserve">Christoph </w:t>
      </w:r>
      <w:r w:rsidR="00275186" w:rsidRPr="007D4DDF">
        <w:rPr>
          <w:szCs w:val="24"/>
        </w:rPr>
        <w:t>U</w:t>
      </w:r>
      <w:r w:rsidRPr="007D4DDF">
        <w:rPr>
          <w:szCs w:val="24"/>
        </w:rPr>
        <w:t xml:space="preserve"> Schmid and </w:t>
      </w:r>
      <w:proofErr w:type="spellStart"/>
      <w:r w:rsidRPr="007D4DDF">
        <w:rPr>
          <w:szCs w:val="24"/>
        </w:rPr>
        <w:t>Sofija</w:t>
      </w:r>
      <w:proofErr w:type="spellEnd"/>
      <w:r w:rsidRPr="007D4DDF">
        <w:rPr>
          <w:szCs w:val="24"/>
        </w:rPr>
        <w:t xml:space="preserve"> Nikolic </w:t>
      </w:r>
      <w:r w:rsidR="00D06BC2" w:rsidRPr="007D4DDF">
        <w:rPr>
          <w:szCs w:val="24"/>
        </w:rPr>
        <w:t xml:space="preserve">point out </w:t>
      </w:r>
      <w:r w:rsidRPr="007D4DDF">
        <w:rPr>
          <w:szCs w:val="24"/>
        </w:rPr>
        <w:t xml:space="preserve">that in Germany, eviction is mostly a consequence of rent or mortgage arrears. As in France and the UK, there is a developed welfare </w:t>
      </w:r>
      <w:r w:rsidR="004F6D47" w:rsidRPr="007D4DDF">
        <w:rPr>
          <w:szCs w:val="24"/>
        </w:rPr>
        <w:t>s</w:t>
      </w:r>
      <w:r w:rsidRPr="007D4DDF">
        <w:rPr>
          <w:szCs w:val="24"/>
        </w:rPr>
        <w:t xml:space="preserve">tate system of support for tenants and others in arrears. </w:t>
      </w:r>
      <w:r w:rsidR="004F6D47" w:rsidRPr="007D4DDF">
        <w:rPr>
          <w:szCs w:val="24"/>
        </w:rPr>
        <w:t>Evictions</w:t>
      </w:r>
      <w:r w:rsidRPr="007D4DDF">
        <w:rPr>
          <w:szCs w:val="24"/>
        </w:rPr>
        <w:t xml:space="preserve"> mainly arise </w:t>
      </w:r>
      <w:r w:rsidR="004F6D47" w:rsidRPr="007D4DDF">
        <w:rPr>
          <w:szCs w:val="24"/>
        </w:rPr>
        <w:t>as a result of</w:t>
      </w:r>
      <w:r w:rsidRPr="007D4DDF">
        <w:rPr>
          <w:szCs w:val="24"/>
        </w:rPr>
        <w:t xml:space="preserve"> unemployment, relationship breakdown or personal difficulties.</w:t>
      </w:r>
    </w:p>
    <w:p w14:paraId="2AA058A4" w14:textId="77777777" w:rsidR="001A4592" w:rsidRPr="007D4DDF" w:rsidRDefault="00A70146" w:rsidP="00777703">
      <w:pPr>
        <w:spacing w:before="0" w:after="120" w:line="240" w:lineRule="auto"/>
        <w:rPr>
          <w:szCs w:val="24"/>
        </w:rPr>
      </w:pPr>
      <w:proofErr w:type="spellStart"/>
      <w:r w:rsidRPr="007D4DDF">
        <w:rPr>
          <w:szCs w:val="24"/>
        </w:rPr>
        <w:t>Nóra</w:t>
      </w:r>
      <w:proofErr w:type="spellEnd"/>
      <w:r w:rsidRPr="007D4DDF">
        <w:rPr>
          <w:szCs w:val="24"/>
        </w:rPr>
        <w:t xml:space="preserve"> Teller, </w:t>
      </w:r>
      <w:proofErr w:type="spellStart"/>
      <w:r w:rsidRPr="007D4DDF">
        <w:rPr>
          <w:szCs w:val="24"/>
        </w:rPr>
        <w:t>Eszter</w:t>
      </w:r>
      <w:proofErr w:type="spellEnd"/>
      <w:r w:rsidRPr="007D4DDF">
        <w:rPr>
          <w:szCs w:val="24"/>
        </w:rPr>
        <w:t xml:space="preserve"> Somogyi and </w:t>
      </w:r>
      <w:proofErr w:type="spellStart"/>
      <w:r w:rsidRPr="007D4DDF">
        <w:rPr>
          <w:szCs w:val="24"/>
        </w:rPr>
        <w:t>Nóra</w:t>
      </w:r>
      <w:proofErr w:type="spellEnd"/>
      <w:r w:rsidRPr="007D4DDF">
        <w:rPr>
          <w:szCs w:val="24"/>
        </w:rPr>
        <w:t xml:space="preserve"> </w:t>
      </w:r>
      <w:proofErr w:type="spellStart"/>
      <w:r w:rsidRPr="007D4DDF">
        <w:rPr>
          <w:szCs w:val="24"/>
        </w:rPr>
        <w:t>Tosics</w:t>
      </w:r>
      <w:proofErr w:type="spellEnd"/>
      <w:r w:rsidRPr="007D4DDF">
        <w:rPr>
          <w:szCs w:val="24"/>
        </w:rPr>
        <w:t xml:space="preserve"> show that in Hungary, the 2008 financial crisis increased the vulnerability of many households. There has been a dramatic increase in the number of severely materially deprived people, which grew from 18 per cent of the population in 2008, to 30 per cent in 2016. General indebtedness has increased dramatically, while utility, loan and housing arrears are common. There is growing housing insecurity, and evictions have almost doubled in the period 201</w:t>
      </w:r>
      <w:r w:rsidR="00A30391" w:rsidRPr="007D4DDF">
        <w:rPr>
          <w:szCs w:val="24"/>
        </w:rPr>
        <w:t>2–2</w:t>
      </w:r>
      <w:r w:rsidRPr="007D4DDF">
        <w:rPr>
          <w:szCs w:val="24"/>
        </w:rPr>
        <w:t>016.</w:t>
      </w:r>
    </w:p>
    <w:p w14:paraId="6475536F" w14:textId="77777777" w:rsidR="00B46BAE" w:rsidRPr="007D4DDF" w:rsidRDefault="00D06BC2" w:rsidP="00777703">
      <w:pPr>
        <w:autoSpaceDE w:val="0"/>
        <w:autoSpaceDN w:val="0"/>
        <w:adjustRightInd w:val="0"/>
        <w:spacing w:before="0" w:after="120" w:line="240" w:lineRule="auto"/>
        <w:rPr>
          <w:szCs w:val="24"/>
        </w:rPr>
      </w:pPr>
      <w:r w:rsidRPr="007D4DDF">
        <w:rPr>
          <w:szCs w:val="24"/>
        </w:rPr>
        <w:t>T</w:t>
      </w:r>
      <w:r w:rsidR="00A70146" w:rsidRPr="007D4DDF">
        <w:rPr>
          <w:szCs w:val="24"/>
        </w:rPr>
        <w:t xml:space="preserve">he current economic crisis facing Italy has been identified as the main causative factor in the rising level of evictions, although as Elena </w:t>
      </w:r>
      <w:proofErr w:type="spellStart"/>
      <w:r w:rsidR="00A70146" w:rsidRPr="007D4DDF">
        <w:rPr>
          <w:szCs w:val="24"/>
        </w:rPr>
        <w:t>Bargelli</w:t>
      </w:r>
      <w:proofErr w:type="spellEnd"/>
      <w:r w:rsidR="00A70146" w:rsidRPr="007D4DDF">
        <w:rPr>
          <w:szCs w:val="24"/>
        </w:rPr>
        <w:t xml:space="preserve"> and </w:t>
      </w:r>
      <w:r w:rsidR="00817C96">
        <w:rPr>
          <w:szCs w:val="24"/>
        </w:rPr>
        <w:t>Giulia</w:t>
      </w:r>
      <w:r w:rsidR="00A70146" w:rsidRPr="007D4DDF">
        <w:rPr>
          <w:szCs w:val="24"/>
        </w:rPr>
        <w:t xml:space="preserve"> </w:t>
      </w:r>
      <w:proofErr w:type="spellStart"/>
      <w:r w:rsidR="00A70146" w:rsidRPr="007D4DDF">
        <w:rPr>
          <w:szCs w:val="24"/>
        </w:rPr>
        <w:t>Donadio</w:t>
      </w:r>
      <w:proofErr w:type="spellEnd"/>
      <w:r w:rsidR="00A30391" w:rsidRPr="007D4DDF">
        <w:rPr>
          <w:szCs w:val="24"/>
        </w:rPr>
        <w:t xml:space="preserve"> </w:t>
      </w:r>
      <w:r w:rsidR="00A70146" w:rsidRPr="007D4DDF">
        <w:rPr>
          <w:szCs w:val="24"/>
        </w:rPr>
        <w:t>observe,</w:t>
      </w:r>
      <w:r w:rsidR="00A70146" w:rsidRPr="007D4DDF">
        <w:rPr>
          <w:b/>
          <w:szCs w:val="24"/>
        </w:rPr>
        <w:t xml:space="preserve"> </w:t>
      </w:r>
      <w:r w:rsidR="00A70146" w:rsidRPr="007D4DDF">
        <w:rPr>
          <w:szCs w:val="24"/>
        </w:rPr>
        <w:t>the mortgage market has not been affected by the speculative bubble of some other European countries. Lending policies have been conservative, and this is now reinforced by the Mortgage Credit Directive.</w:t>
      </w:r>
      <w:r w:rsidR="00A70146" w:rsidRPr="007D4DDF">
        <w:rPr>
          <w:rStyle w:val="FootnoteReference"/>
          <w:szCs w:val="24"/>
        </w:rPr>
        <w:footnoteReference w:id="44"/>
      </w:r>
      <w:r w:rsidR="00A70146" w:rsidRPr="007D4DDF">
        <w:rPr>
          <w:szCs w:val="24"/>
        </w:rPr>
        <w:t xml:space="preserve"> Indeed, this Directive has been transposed by many EU countries, and limits the levels of mortgage lending according to strict means tests and property valuation tests. In Ireland, the banking collapse led to a severe recession and unemployment of 15 per cent in 2012. However, the rise in rents and shortage of affordable rented housing is the main cause of evictions. </w:t>
      </w:r>
    </w:p>
    <w:p w14:paraId="040EAA96" w14:textId="77777777" w:rsidR="001A4592" w:rsidRPr="007D4DDF" w:rsidRDefault="00A70146" w:rsidP="00777703">
      <w:pPr>
        <w:autoSpaceDE w:val="0"/>
        <w:autoSpaceDN w:val="0"/>
        <w:adjustRightInd w:val="0"/>
        <w:spacing w:before="0" w:after="120" w:line="240" w:lineRule="auto"/>
        <w:rPr>
          <w:szCs w:val="24"/>
        </w:rPr>
      </w:pPr>
      <w:r w:rsidRPr="007D4DDF">
        <w:rPr>
          <w:szCs w:val="24"/>
        </w:rPr>
        <w:t xml:space="preserve">Witold </w:t>
      </w:r>
      <w:proofErr w:type="spellStart"/>
      <w:r w:rsidRPr="007D4DDF">
        <w:rPr>
          <w:szCs w:val="24"/>
        </w:rPr>
        <w:t>Borysiak</w:t>
      </w:r>
      <w:proofErr w:type="spellEnd"/>
      <w:r w:rsidRPr="007D4DDF">
        <w:rPr>
          <w:szCs w:val="24"/>
        </w:rPr>
        <w:t xml:space="preserve"> </w:t>
      </w:r>
      <w:r w:rsidR="00B46BAE" w:rsidRPr="007D4DDF">
        <w:rPr>
          <w:szCs w:val="24"/>
        </w:rPr>
        <w:t xml:space="preserve">shows that </w:t>
      </w:r>
      <w:r w:rsidRPr="007D4DDF">
        <w:rPr>
          <w:szCs w:val="24"/>
        </w:rPr>
        <w:t>in Poland,</w:t>
      </w:r>
      <w:r w:rsidRPr="007D4DDF">
        <w:rPr>
          <w:b/>
          <w:szCs w:val="24"/>
        </w:rPr>
        <w:t xml:space="preserve"> </w:t>
      </w:r>
      <w:r w:rsidRPr="007D4DDF">
        <w:rPr>
          <w:szCs w:val="24"/>
        </w:rPr>
        <w:t>the main reasons for evictions are viewed as economic, in the context of a 12 per cent unemployment</w:t>
      </w:r>
      <w:r w:rsidR="004F6D47" w:rsidRPr="007D4DDF">
        <w:rPr>
          <w:szCs w:val="24"/>
        </w:rPr>
        <w:t xml:space="preserve"> rate</w:t>
      </w:r>
      <w:r w:rsidRPr="007D4DDF">
        <w:rPr>
          <w:szCs w:val="24"/>
        </w:rPr>
        <w:t>. This leads to arrears of rent</w:t>
      </w:r>
      <w:r w:rsidR="00F06333" w:rsidRPr="007D4DDF">
        <w:rPr>
          <w:szCs w:val="24"/>
        </w:rPr>
        <w:t>,</w:t>
      </w:r>
      <w:r w:rsidRPr="007D4DDF">
        <w:rPr>
          <w:szCs w:val="24"/>
        </w:rPr>
        <w:t xml:space="preserve"> or mortgage or other debts. Psycho</w:t>
      </w:r>
      <w:r w:rsidR="006771D4" w:rsidRPr="007D4DDF">
        <w:rPr>
          <w:szCs w:val="24"/>
        </w:rPr>
        <w:t>social</w:t>
      </w:r>
      <w:r w:rsidRPr="007D4DDF">
        <w:rPr>
          <w:szCs w:val="24"/>
        </w:rPr>
        <w:t xml:space="preserve"> factors also have an impact, and sometimes a combination of economic, social and personal issues </w:t>
      </w:r>
      <w:r w:rsidR="00CB6D71" w:rsidRPr="007D4DDF">
        <w:rPr>
          <w:szCs w:val="24"/>
        </w:rPr>
        <w:t>precipitates</w:t>
      </w:r>
      <w:r w:rsidRPr="007D4DDF">
        <w:rPr>
          <w:szCs w:val="24"/>
        </w:rPr>
        <w:t xml:space="preserve"> an </w:t>
      </w:r>
      <w:r w:rsidRPr="007D4DDF">
        <w:rPr>
          <w:szCs w:val="24"/>
        </w:rPr>
        <w:lastRenderedPageBreak/>
        <w:t>eviction. Poland lacks a national support system for local authorities to deal with the need for social housing, and there are an estimated 1.5 million housing units required.</w:t>
      </w:r>
    </w:p>
    <w:p w14:paraId="41B2E720" w14:textId="77777777" w:rsidR="001A4592" w:rsidRPr="007D4DDF" w:rsidRDefault="00A70146" w:rsidP="00777703">
      <w:pPr>
        <w:spacing w:before="0" w:after="120" w:line="240" w:lineRule="auto"/>
        <w:rPr>
          <w:szCs w:val="24"/>
        </w:rPr>
      </w:pPr>
      <w:r w:rsidRPr="007D4DDF">
        <w:rPr>
          <w:szCs w:val="24"/>
        </w:rPr>
        <w:t>In Slovenia</w:t>
      </w:r>
      <w:r w:rsidR="00B46BAE" w:rsidRPr="007D4DDF">
        <w:rPr>
          <w:szCs w:val="24"/>
        </w:rPr>
        <w:t>,</w:t>
      </w:r>
      <w:r w:rsidRPr="007D4DDF">
        <w:rPr>
          <w:szCs w:val="24"/>
        </w:rPr>
        <w:t xml:space="preserve"> since 2008</w:t>
      </w:r>
      <w:r w:rsidR="00D107C3">
        <w:rPr>
          <w:szCs w:val="24"/>
        </w:rPr>
        <w:t>,</w:t>
      </w:r>
      <w:r w:rsidRPr="007D4DDF">
        <w:rPr>
          <w:szCs w:val="24"/>
        </w:rPr>
        <w:t xml:space="preserve"> unemployment levels have increased, but are now declining, although the EU at-risk-of-poverty rate increased from 9 per cent in 2009 to 14.3 per cent in 2015, and for those who are unemployed the rate </w:t>
      </w:r>
      <w:r w:rsidR="00DB3BFB" w:rsidRPr="007D4DDF">
        <w:rPr>
          <w:szCs w:val="24"/>
        </w:rPr>
        <w:t>wa</w:t>
      </w:r>
      <w:r w:rsidRPr="007D4DDF">
        <w:rPr>
          <w:szCs w:val="24"/>
        </w:rPr>
        <w:t xml:space="preserve">s 45 per cent in 2015. </w:t>
      </w:r>
      <w:proofErr w:type="spellStart"/>
      <w:r w:rsidRPr="007D4DDF">
        <w:rPr>
          <w:szCs w:val="24"/>
        </w:rPr>
        <w:t>Maša</w:t>
      </w:r>
      <w:proofErr w:type="spellEnd"/>
      <w:r w:rsidRPr="007D4DDF">
        <w:rPr>
          <w:szCs w:val="24"/>
        </w:rPr>
        <w:t xml:space="preserve"> </w:t>
      </w:r>
      <w:proofErr w:type="spellStart"/>
      <w:r w:rsidRPr="007D4DDF">
        <w:rPr>
          <w:szCs w:val="24"/>
        </w:rPr>
        <w:t>Filipovič</w:t>
      </w:r>
      <w:proofErr w:type="spellEnd"/>
      <w:r w:rsidRPr="007D4DDF">
        <w:rPr>
          <w:szCs w:val="24"/>
        </w:rPr>
        <w:t xml:space="preserve"> </w:t>
      </w:r>
      <w:proofErr w:type="spellStart"/>
      <w:r w:rsidRPr="007D4DDF">
        <w:rPr>
          <w:szCs w:val="24"/>
        </w:rPr>
        <w:t>Hrast</w:t>
      </w:r>
      <w:proofErr w:type="spellEnd"/>
      <w:r w:rsidRPr="007D4DDF">
        <w:rPr>
          <w:szCs w:val="24"/>
        </w:rPr>
        <w:t xml:space="preserve"> suggests that these financially vulnerable households face a higher risk of eviction due to arrears of mortgage</w:t>
      </w:r>
      <w:r w:rsidR="00DB3BFB" w:rsidRPr="007D4DDF">
        <w:rPr>
          <w:szCs w:val="24"/>
        </w:rPr>
        <w:t>,</w:t>
      </w:r>
      <w:r w:rsidRPr="007D4DDF">
        <w:rPr>
          <w:szCs w:val="24"/>
        </w:rPr>
        <w:t xml:space="preserve"> rent or other costs. </w:t>
      </w:r>
    </w:p>
    <w:p w14:paraId="07599E08" w14:textId="77777777" w:rsidR="001A4592" w:rsidRPr="007D4DDF" w:rsidRDefault="00A70146" w:rsidP="00777703">
      <w:pPr>
        <w:spacing w:before="0" w:after="120" w:line="240" w:lineRule="auto"/>
        <w:rPr>
          <w:szCs w:val="24"/>
        </w:rPr>
      </w:pPr>
      <w:r w:rsidRPr="007D4DDF">
        <w:rPr>
          <w:szCs w:val="24"/>
        </w:rPr>
        <w:t xml:space="preserve">Sergio </w:t>
      </w:r>
      <w:proofErr w:type="spellStart"/>
      <w:r w:rsidRPr="007D4DDF">
        <w:rPr>
          <w:szCs w:val="24"/>
        </w:rPr>
        <w:t>Nasarre</w:t>
      </w:r>
      <w:proofErr w:type="spellEnd"/>
      <w:r w:rsidRPr="007D4DDF">
        <w:rPr>
          <w:szCs w:val="24"/>
        </w:rPr>
        <w:t>-Azn</w:t>
      </w:r>
      <w:r w:rsidR="00EB0114" w:rsidRPr="007D4DDF">
        <w:rPr>
          <w:szCs w:val="24"/>
        </w:rPr>
        <w:t>a</w:t>
      </w:r>
      <w:r w:rsidRPr="007D4DDF">
        <w:rPr>
          <w:szCs w:val="24"/>
        </w:rPr>
        <w:t>r and Rosa Maria Garcia</w:t>
      </w:r>
      <w:r w:rsidR="00112951" w:rsidRPr="007D4DDF">
        <w:rPr>
          <w:szCs w:val="24"/>
        </w:rPr>
        <w:t xml:space="preserve"> </w:t>
      </w:r>
      <w:proofErr w:type="spellStart"/>
      <w:r w:rsidRPr="007D4DDF">
        <w:rPr>
          <w:szCs w:val="24"/>
        </w:rPr>
        <w:t>Teruel</w:t>
      </w:r>
      <w:proofErr w:type="spellEnd"/>
      <w:r w:rsidRPr="007D4DDF">
        <w:rPr>
          <w:szCs w:val="24"/>
        </w:rPr>
        <w:t xml:space="preserve"> explain</w:t>
      </w:r>
      <w:r w:rsidR="00A30391" w:rsidRPr="007D4DDF">
        <w:rPr>
          <w:szCs w:val="24"/>
        </w:rPr>
        <w:t xml:space="preserve"> </w:t>
      </w:r>
      <w:r w:rsidRPr="007D4DDF">
        <w:rPr>
          <w:szCs w:val="24"/>
        </w:rPr>
        <w:t>that the absence of any alternatives to home ownership rendered Spanish households vulnerable</w:t>
      </w:r>
      <w:r w:rsidR="00B46BAE" w:rsidRPr="007D4DDF">
        <w:rPr>
          <w:szCs w:val="24"/>
        </w:rPr>
        <w:t>,</w:t>
      </w:r>
      <w:r w:rsidRPr="007D4DDF">
        <w:rPr>
          <w:szCs w:val="24"/>
        </w:rPr>
        <w:t xml:space="preserve"> due to their reliance on mortgages. This has been facilitated by tax and policy incentives for developers and purchasers, and the establishment of a mortgage system with fast foreclosure, until EU consumer law </w:t>
      </w:r>
      <w:r w:rsidR="00DB3BFB" w:rsidRPr="007D4DDF">
        <w:rPr>
          <w:szCs w:val="24"/>
        </w:rPr>
        <w:t>(</w:t>
      </w:r>
      <w:r w:rsidRPr="007D4DDF">
        <w:rPr>
          <w:szCs w:val="24"/>
        </w:rPr>
        <w:t xml:space="preserve">the iconic </w:t>
      </w:r>
      <w:r w:rsidRPr="007D4DDF">
        <w:rPr>
          <w:i/>
          <w:szCs w:val="24"/>
        </w:rPr>
        <w:t xml:space="preserve">Aziz </w:t>
      </w:r>
      <w:r w:rsidRPr="007D4DDF">
        <w:rPr>
          <w:szCs w:val="24"/>
        </w:rPr>
        <w:t>case</w:t>
      </w:r>
      <w:r w:rsidR="00DB3BFB" w:rsidRPr="007D4DDF">
        <w:rPr>
          <w:szCs w:val="24"/>
        </w:rPr>
        <w:t>)</w:t>
      </w:r>
      <w:r w:rsidR="00D06BC2" w:rsidRPr="007D4DDF">
        <w:rPr>
          <w:szCs w:val="24"/>
        </w:rPr>
        <w:t xml:space="preserve"> </w:t>
      </w:r>
      <w:r w:rsidRPr="007D4DDF">
        <w:rPr>
          <w:szCs w:val="24"/>
        </w:rPr>
        <w:t>began to be applied. This case exposed irresponsible lending and very strict enforcement of security, often extending to family guarantees as recourse. The rental sector remain</w:t>
      </w:r>
      <w:r w:rsidR="00D06BC2" w:rsidRPr="007D4DDF">
        <w:rPr>
          <w:szCs w:val="24"/>
        </w:rPr>
        <w:t>s</w:t>
      </w:r>
      <w:r w:rsidRPr="007D4DDF">
        <w:rPr>
          <w:szCs w:val="24"/>
        </w:rPr>
        <w:t xml:space="preserve"> undeveloped and often in the shadow economy</w:t>
      </w:r>
      <w:r w:rsidR="005D7E60" w:rsidRPr="007D4DDF">
        <w:rPr>
          <w:szCs w:val="24"/>
        </w:rPr>
        <w:t>;</w:t>
      </w:r>
      <w:r w:rsidRPr="007D4DDF">
        <w:rPr>
          <w:szCs w:val="24"/>
        </w:rPr>
        <w:t xml:space="preserve"> and this affects greatly the housing security of those who are at risk of poverty. Spain has only 2 per cent social housing stock. The banking crisis and subsequent recession</w:t>
      </w:r>
      <w:r w:rsidR="00DB3BFB" w:rsidRPr="007D4DDF">
        <w:rPr>
          <w:szCs w:val="24"/>
        </w:rPr>
        <w:t>, with</w:t>
      </w:r>
      <w:r w:rsidRPr="007D4DDF">
        <w:rPr>
          <w:szCs w:val="24"/>
        </w:rPr>
        <w:t xml:space="preserve"> unemployment of 20 per cent</w:t>
      </w:r>
      <w:r w:rsidR="00DB3BFB" w:rsidRPr="007D4DDF">
        <w:rPr>
          <w:szCs w:val="24"/>
        </w:rPr>
        <w:t>,</w:t>
      </w:r>
      <w:r w:rsidRPr="007D4DDF">
        <w:rPr>
          <w:szCs w:val="24"/>
        </w:rPr>
        <w:t xml:space="preserve"> exacerbated the problems, with major levels of evictions.</w:t>
      </w:r>
    </w:p>
    <w:p w14:paraId="14103F7F" w14:textId="77777777" w:rsidR="001A4592" w:rsidRPr="007D4DDF" w:rsidRDefault="00A70146" w:rsidP="00777703">
      <w:pPr>
        <w:spacing w:before="0" w:after="120" w:line="240" w:lineRule="auto"/>
        <w:rPr>
          <w:szCs w:val="24"/>
        </w:rPr>
      </w:pPr>
      <w:r w:rsidRPr="007D4DDF">
        <w:rPr>
          <w:szCs w:val="24"/>
        </w:rPr>
        <w:t xml:space="preserve">Michel Vols </w:t>
      </w:r>
      <w:r w:rsidR="00D06BC2" w:rsidRPr="007D4DDF">
        <w:rPr>
          <w:szCs w:val="24"/>
        </w:rPr>
        <w:t>affirms</w:t>
      </w:r>
      <w:r w:rsidRPr="007D4DDF">
        <w:rPr>
          <w:szCs w:val="24"/>
        </w:rPr>
        <w:t xml:space="preserve"> that in the Netherlands the economic crisis and unemployment have been significant factor</w:t>
      </w:r>
      <w:r w:rsidR="00DB3BFB" w:rsidRPr="007D4DDF">
        <w:rPr>
          <w:szCs w:val="24"/>
        </w:rPr>
        <w:t>s</w:t>
      </w:r>
      <w:r w:rsidRPr="007D4DDF">
        <w:rPr>
          <w:szCs w:val="24"/>
        </w:rPr>
        <w:t xml:space="preserve"> in mortgage</w:t>
      </w:r>
      <w:r w:rsidR="000B3939" w:rsidRPr="007D4DDF">
        <w:rPr>
          <w:szCs w:val="24"/>
        </w:rPr>
        <w:t>-related</w:t>
      </w:r>
      <w:r w:rsidRPr="007D4DDF">
        <w:rPr>
          <w:szCs w:val="24"/>
        </w:rPr>
        <w:t xml:space="preserve"> evictions, but </w:t>
      </w:r>
      <w:r w:rsidR="00DB3BFB" w:rsidRPr="007D4DDF">
        <w:rPr>
          <w:szCs w:val="24"/>
        </w:rPr>
        <w:t>another factor is</w:t>
      </w:r>
      <w:r w:rsidRPr="007D4DDF">
        <w:rPr>
          <w:szCs w:val="24"/>
        </w:rPr>
        <w:t xml:space="preserve"> the approach of local authorities to squatting and housing-related crime, such as drug-dealing and </w:t>
      </w:r>
      <w:r w:rsidR="009354F0" w:rsidRPr="007D4DDF">
        <w:rPr>
          <w:szCs w:val="24"/>
        </w:rPr>
        <w:t>cannabis-</w:t>
      </w:r>
      <w:r w:rsidR="00DB3BFB" w:rsidRPr="007D4DDF">
        <w:rPr>
          <w:szCs w:val="24"/>
        </w:rPr>
        <w:t>growing</w:t>
      </w:r>
      <w:r w:rsidRPr="007D4DDF">
        <w:rPr>
          <w:szCs w:val="24"/>
        </w:rPr>
        <w:t>.</w:t>
      </w:r>
    </w:p>
    <w:p w14:paraId="4E60B384" w14:textId="3B7034CD" w:rsidR="006E160F" w:rsidRDefault="00A70146" w:rsidP="00777703">
      <w:pPr>
        <w:spacing w:before="0" w:after="120" w:line="240" w:lineRule="auto"/>
        <w:rPr>
          <w:szCs w:val="24"/>
        </w:rPr>
      </w:pPr>
      <w:r w:rsidRPr="007D4DDF">
        <w:rPr>
          <w:szCs w:val="24"/>
        </w:rPr>
        <w:t xml:space="preserve">In the UK, since 2010 government policy has sought to assert a </w:t>
      </w:r>
      <w:r w:rsidR="000B3939" w:rsidRPr="007D4DDF">
        <w:rPr>
          <w:szCs w:val="24"/>
        </w:rPr>
        <w:t>‘</w:t>
      </w:r>
      <w:r w:rsidRPr="007D4DDF">
        <w:rPr>
          <w:szCs w:val="24"/>
        </w:rPr>
        <w:t>free market</w:t>
      </w:r>
      <w:r w:rsidR="000B3939" w:rsidRPr="007D4DDF">
        <w:rPr>
          <w:szCs w:val="24"/>
        </w:rPr>
        <w:t>’</w:t>
      </w:r>
      <w:r w:rsidRPr="007D4DDF">
        <w:rPr>
          <w:szCs w:val="24"/>
        </w:rPr>
        <w:t xml:space="preserve"> approach to renting. Even earlier, legislative and policy changes reduced the protection of private tenants to the lowest </w:t>
      </w:r>
      <w:r w:rsidR="004B60E2" w:rsidRPr="007D4DDF">
        <w:rPr>
          <w:szCs w:val="24"/>
        </w:rPr>
        <w:t xml:space="preserve">level </w:t>
      </w:r>
      <w:r w:rsidRPr="007D4DDF">
        <w:rPr>
          <w:szCs w:val="24"/>
        </w:rPr>
        <w:t>in Europe</w:t>
      </w:r>
      <w:r w:rsidR="006D4871" w:rsidRPr="007D4DDF">
        <w:rPr>
          <w:szCs w:val="24"/>
        </w:rPr>
        <w:t>,</w:t>
      </w:r>
      <w:r w:rsidRPr="007D4DDF">
        <w:rPr>
          <w:szCs w:val="24"/>
        </w:rPr>
        <w:t xml:space="preserve"> with six</w:t>
      </w:r>
      <w:r w:rsidR="00A03E10" w:rsidRPr="007D4DDF">
        <w:rPr>
          <w:szCs w:val="24"/>
        </w:rPr>
        <w:t>-</w:t>
      </w:r>
      <w:r w:rsidR="00A30391" w:rsidRPr="007D4DDF">
        <w:rPr>
          <w:szCs w:val="24"/>
        </w:rPr>
        <w:t xml:space="preserve"> </w:t>
      </w:r>
      <w:r w:rsidRPr="007D4DDF">
        <w:rPr>
          <w:szCs w:val="24"/>
        </w:rPr>
        <w:t xml:space="preserve">or </w:t>
      </w:r>
      <w:r w:rsidR="00483CDD" w:rsidRPr="007D4DDF">
        <w:rPr>
          <w:szCs w:val="24"/>
        </w:rPr>
        <w:t>twelve-</w:t>
      </w:r>
      <w:r w:rsidRPr="007D4DDF">
        <w:rPr>
          <w:szCs w:val="24"/>
        </w:rPr>
        <w:t>month assured shorthold tenancies</w:t>
      </w:r>
      <w:r w:rsidR="00B46BAE" w:rsidRPr="007D4DDF">
        <w:rPr>
          <w:szCs w:val="24"/>
        </w:rPr>
        <w:t xml:space="preserve">. These give an </w:t>
      </w:r>
      <w:r w:rsidRPr="007D4DDF">
        <w:rPr>
          <w:szCs w:val="24"/>
        </w:rPr>
        <w:t xml:space="preserve">automatic right to possession </w:t>
      </w:r>
      <w:r w:rsidR="00483CDD" w:rsidRPr="007D4DDF">
        <w:rPr>
          <w:szCs w:val="24"/>
        </w:rPr>
        <w:t xml:space="preserve">for </w:t>
      </w:r>
      <w:r w:rsidRPr="007D4DDF">
        <w:rPr>
          <w:szCs w:val="24"/>
        </w:rPr>
        <w:t>the landlord once the required notice is given. Indeed, such is the insecurity of these tenancies that one</w:t>
      </w:r>
      <w:r w:rsidR="006771D4" w:rsidRPr="007D4DDF">
        <w:rPr>
          <w:szCs w:val="24"/>
        </w:rPr>
        <w:t>-</w:t>
      </w:r>
      <w:r w:rsidRPr="007D4DDF">
        <w:rPr>
          <w:szCs w:val="24"/>
        </w:rPr>
        <w:t>quarter of renters are in their homes for less than one year. T</w:t>
      </w:r>
      <w:r w:rsidR="00B46BAE" w:rsidRPr="007D4DDF">
        <w:rPr>
          <w:szCs w:val="24"/>
        </w:rPr>
        <w:t xml:space="preserve">aking </w:t>
      </w:r>
      <w:r w:rsidRPr="007D4DDF">
        <w:rPr>
          <w:szCs w:val="24"/>
        </w:rPr>
        <w:t xml:space="preserve">place against a background of reduction in welfare and social housing expenditure, </w:t>
      </w:r>
      <w:r w:rsidR="00B46BAE" w:rsidRPr="007D4DDF">
        <w:rPr>
          <w:szCs w:val="24"/>
        </w:rPr>
        <w:t>this leaves</w:t>
      </w:r>
      <w:r w:rsidRPr="007D4DDF">
        <w:rPr>
          <w:szCs w:val="24"/>
        </w:rPr>
        <w:t xml:space="preserve"> fewer and fewer options for poor households. Housing affordability is poor in the UK, and the gap between income and housing costs continues to grow. As Caroline Hunter and Nicholas </w:t>
      </w:r>
      <w:proofErr w:type="spellStart"/>
      <w:r w:rsidRPr="007D4DDF">
        <w:rPr>
          <w:szCs w:val="24"/>
        </w:rPr>
        <w:t>Pleace</w:t>
      </w:r>
      <w:proofErr w:type="spellEnd"/>
      <w:r w:rsidRPr="007D4DDF">
        <w:rPr>
          <w:szCs w:val="24"/>
        </w:rPr>
        <w:t xml:space="preserve"> suggest, there is an inherent dysfunctionality in the private rented sector</w:t>
      </w:r>
      <w:r w:rsidR="00B46BAE" w:rsidRPr="007D4DDF">
        <w:rPr>
          <w:szCs w:val="24"/>
        </w:rPr>
        <w:t>,</w:t>
      </w:r>
      <w:r w:rsidRPr="007D4DDF">
        <w:rPr>
          <w:szCs w:val="24"/>
        </w:rPr>
        <w:t xml:space="preserve"> which needs to be addressed, as the current model exacerbates the risk of eviction. Law plays a central role in the UK. It is the law which makes the private rented sector an inherently insecure tenure for tenants, with major imbalances in rights in favour of landlords.</w:t>
      </w:r>
    </w:p>
    <w:p w14:paraId="5AA65FCB" w14:textId="77777777" w:rsidR="006E160F" w:rsidRDefault="006E160F">
      <w:pPr>
        <w:spacing w:before="0" w:after="0" w:line="240" w:lineRule="auto"/>
        <w:rPr>
          <w:szCs w:val="24"/>
        </w:rPr>
      </w:pPr>
      <w:r>
        <w:rPr>
          <w:szCs w:val="24"/>
        </w:rPr>
        <w:br w:type="page"/>
      </w:r>
    </w:p>
    <w:p w14:paraId="6ED3BA9F" w14:textId="2E20BF6B" w:rsidR="001A4592" w:rsidRDefault="00495EF7" w:rsidP="00777703">
      <w:pPr>
        <w:spacing w:before="0" w:after="120" w:line="240" w:lineRule="auto"/>
        <w:ind w:left="1134" w:hanging="1134"/>
        <w:rPr>
          <w:b/>
          <w:bCs/>
          <w:sz w:val="28"/>
          <w:szCs w:val="28"/>
        </w:rPr>
      </w:pPr>
      <w:bookmarkStart w:id="6" w:name="_Toc508191194"/>
      <w:r w:rsidRPr="008B1CB3">
        <w:rPr>
          <w:b/>
          <w:bCs/>
          <w:color w:val="000000"/>
          <w:sz w:val="28"/>
          <w:szCs w:val="28"/>
        </w:rPr>
        <w:lastRenderedPageBreak/>
        <w:t>3</w:t>
      </w:r>
      <w:r w:rsidR="00395E14" w:rsidRPr="008B1CB3">
        <w:rPr>
          <w:b/>
          <w:bCs/>
          <w:color w:val="000000"/>
          <w:sz w:val="28"/>
          <w:szCs w:val="28"/>
        </w:rPr>
        <w:t>.</w:t>
      </w:r>
      <w:r w:rsidR="006E160F" w:rsidRPr="008B1CB3">
        <w:rPr>
          <w:b/>
          <w:bCs/>
          <w:color w:val="000000"/>
          <w:sz w:val="28"/>
          <w:szCs w:val="28"/>
        </w:rPr>
        <w:t xml:space="preserve"> </w:t>
      </w:r>
      <w:r w:rsidR="00EA4C34" w:rsidRPr="008B1CB3">
        <w:rPr>
          <w:b/>
          <w:bCs/>
          <w:sz w:val="28"/>
          <w:szCs w:val="28"/>
        </w:rPr>
        <w:t>P</w:t>
      </w:r>
      <w:r w:rsidR="00DA7E20" w:rsidRPr="008B1CB3">
        <w:rPr>
          <w:b/>
          <w:bCs/>
          <w:sz w:val="28"/>
          <w:szCs w:val="28"/>
        </w:rPr>
        <w:t>OLICY CONTEXT</w:t>
      </w:r>
      <w:bookmarkEnd w:id="6"/>
    </w:p>
    <w:p w14:paraId="0088D3F5" w14:textId="77777777" w:rsidR="006E160F" w:rsidRPr="008B1CB3" w:rsidRDefault="006E160F" w:rsidP="00777703">
      <w:pPr>
        <w:spacing w:before="0" w:after="120" w:line="240" w:lineRule="auto"/>
        <w:ind w:left="1134" w:hanging="1134"/>
        <w:rPr>
          <w:b/>
          <w:bCs/>
          <w:color w:val="000000"/>
          <w:sz w:val="28"/>
          <w:szCs w:val="28"/>
        </w:rPr>
      </w:pPr>
    </w:p>
    <w:p w14:paraId="4BAB66A3" w14:textId="58E73274" w:rsidR="001A4592" w:rsidRPr="007D4DDF" w:rsidRDefault="00B363D4" w:rsidP="00777703">
      <w:pPr>
        <w:pStyle w:val="Heading2"/>
        <w:spacing w:before="0" w:after="120" w:line="240" w:lineRule="auto"/>
        <w:ind w:left="1134" w:hanging="1134"/>
        <w:rPr>
          <w:rFonts w:ascii="Times New Roman" w:hAnsi="Times New Roman"/>
        </w:rPr>
      </w:pPr>
      <w:bookmarkStart w:id="7" w:name="_Toc508191195"/>
      <w:r w:rsidRPr="007D4DDF">
        <w:rPr>
          <w:rFonts w:ascii="Times New Roman" w:hAnsi="Times New Roman"/>
        </w:rPr>
        <w:t>3.1</w:t>
      </w:r>
      <w:r w:rsidR="006E160F">
        <w:rPr>
          <w:rFonts w:ascii="Times New Roman" w:hAnsi="Times New Roman"/>
        </w:rPr>
        <w:t>.</w:t>
      </w:r>
      <w:r w:rsidR="00D2593C">
        <w:rPr>
          <w:rFonts w:ascii="Times New Roman" w:hAnsi="Times New Roman"/>
        </w:rPr>
        <w:t xml:space="preserve"> </w:t>
      </w:r>
      <w:r w:rsidR="002820CB" w:rsidRPr="007D4DDF">
        <w:rPr>
          <w:rFonts w:ascii="Times New Roman" w:hAnsi="Times New Roman"/>
        </w:rPr>
        <w:t xml:space="preserve">General </w:t>
      </w:r>
      <w:r w:rsidRPr="007D4DDF">
        <w:rPr>
          <w:rFonts w:ascii="Times New Roman" w:hAnsi="Times New Roman"/>
        </w:rPr>
        <w:t>H</w:t>
      </w:r>
      <w:r w:rsidR="008D20C6" w:rsidRPr="007D4DDF">
        <w:rPr>
          <w:rFonts w:ascii="Times New Roman" w:hAnsi="Times New Roman"/>
        </w:rPr>
        <w:t xml:space="preserve">ousing </w:t>
      </w:r>
      <w:r w:rsidRPr="007D4DDF">
        <w:rPr>
          <w:rFonts w:ascii="Times New Roman" w:hAnsi="Times New Roman"/>
        </w:rPr>
        <w:t>P</w:t>
      </w:r>
      <w:r w:rsidR="008D20C6" w:rsidRPr="007D4DDF">
        <w:rPr>
          <w:rFonts w:ascii="Times New Roman" w:hAnsi="Times New Roman"/>
        </w:rPr>
        <w:t>olicy</w:t>
      </w:r>
      <w:bookmarkEnd w:id="7"/>
    </w:p>
    <w:p w14:paraId="098D653E" w14:textId="77777777" w:rsidR="001A4592" w:rsidRPr="007D4DDF" w:rsidRDefault="002820CB" w:rsidP="00395E14">
      <w:pPr>
        <w:spacing w:before="0" w:after="120" w:line="240" w:lineRule="auto"/>
        <w:rPr>
          <w:szCs w:val="24"/>
        </w:rPr>
      </w:pPr>
      <w:r w:rsidRPr="007D4DDF">
        <w:rPr>
          <w:szCs w:val="24"/>
        </w:rPr>
        <w:t xml:space="preserve">There are significant variations in the housing systems of the eleven countries in this study. Levels of owner-occupation vary between 92 per cent in Hungary to 45 per cent in Germany, with concurrent variations in the levels of private and social rented housing. Germany exhibits some 50 per cent of tenures in the private rented sector, while Spain, Italy and Hungary have less than 5 per cent. Significantly, the UK, which has had a liberal market-based approach to its housing system, has less than 18 per cent private rented housing. Housing cooperatives or similar condominium ownership systems account for </w:t>
      </w:r>
      <w:r w:rsidR="00EA4C34" w:rsidRPr="007D4DDF">
        <w:rPr>
          <w:szCs w:val="24"/>
        </w:rPr>
        <w:t>16</w:t>
      </w:r>
      <w:r w:rsidR="004B60E2" w:rsidRPr="007D4DDF">
        <w:rPr>
          <w:szCs w:val="24"/>
        </w:rPr>
        <w:t xml:space="preserve"> per cent, </w:t>
      </w:r>
      <w:r w:rsidR="00EA4C34" w:rsidRPr="007D4DDF">
        <w:rPr>
          <w:szCs w:val="24"/>
        </w:rPr>
        <w:t>9</w:t>
      </w:r>
      <w:r w:rsidR="004B60E2" w:rsidRPr="007D4DDF">
        <w:rPr>
          <w:szCs w:val="24"/>
        </w:rPr>
        <w:t xml:space="preserve"> per cent</w:t>
      </w:r>
      <w:r w:rsidR="00EA4C34" w:rsidRPr="007D4DDF">
        <w:rPr>
          <w:szCs w:val="24"/>
        </w:rPr>
        <w:t xml:space="preserve"> and 14</w:t>
      </w:r>
      <w:r w:rsidR="004B60E2" w:rsidRPr="007D4DDF">
        <w:rPr>
          <w:szCs w:val="24"/>
        </w:rPr>
        <w:t xml:space="preserve"> per cent</w:t>
      </w:r>
      <w:r w:rsidR="004B60E2" w:rsidRPr="007D4DDF" w:rsidDel="004B60E2">
        <w:rPr>
          <w:szCs w:val="24"/>
        </w:rPr>
        <w:t xml:space="preserve"> </w:t>
      </w:r>
      <w:r w:rsidR="00EA4C34" w:rsidRPr="007D4DDF">
        <w:rPr>
          <w:szCs w:val="24"/>
        </w:rPr>
        <w:t xml:space="preserve">of tenures </w:t>
      </w:r>
      <w:r w:rsidR="004B60E2" w:rsidRPr="007D4DDF">
        <w:rPr>
          <w:szCs w:val="24"/>
        </w:rPr>
        <w:t xml:space="preserve">in </w:t>
      </w:r>
      <w:r w:rsidRPr="007D4DDF">
        <w:rPr>
          <w:szCs w:val="24"/>
        </w:rPr>
        <w:t>Poland, Italy and Slovenia</w:t>
      </w:r>
      <w:r w:rsidR="00EA4C34" w:rsidRPr="007D4DDF">
        <w:rPr>
          <w:szCs w:val="24"/>
        </w:rPr>
        <w:t xml:space="preserve"> respectively</w:t>
      </w:r>
      <w:r w:rsidRPr="007D4DDF">
        <w:rPr>
          <w:szCs w:val="24"/>
        </w:rPr>
        <w:t>.</w:t>
      </w:r>
    </w:p>
    <w:p w14:paraId="1071AFD4" w14:textId="77777777" w:rsidR="001A4592" w:rsidRPr="007D4DDF" w:rsidRDefault="002820CB" w:rsidP="00777703">
      <w:pPr>
        <w:spacing w:before="0" w:after="120" w:line="240" w:lineRule="auto"/>
        <w:rPr>
          <w:szCs w:val="24"/>
        </w:rPr>
      </w:pPr>
      <w:r w:rsidRPr="007D4DDF">
        <w:rPr>
          <w:szCs w:val="24"/>
        </w:rPr>
        <w:t>The housing systems vary considerably in the proportions of social rented housing</w:t>
      </w:r>
      <w:r w:rsidR="004B60E2" w:rsidRPr="007D4DDF">
        <w:rPr>
          <w:szCs w:val="24"/>
        </w:rPr>
        <w:t>,</w:t>
      </w:r>
      <w:r w:rsidRPr="007D4DDF">
        <w:rPr>
          <w:szCs w:val="24"/>
        </w:rPr>
        <w:t xml:space="preserve"> with France, </w:t>
      </w:r>
      <w:r w:rsidR="008D20C6" w:rsidRPr="007D4DDF">
        <w:rPr>
          <w:szCs w:val="24"/>
        </w:rPr>
        <w:t>t</w:t>
      </w:r>
      <w:r w:rsidRPr="007D4DDF">
        <w:rPr>
          <w:szCs w:val="24"/>
        </w:rPr>
        <w:t xml:space="preserve">he Netherlands and the UK reflecting the legacy of welfare </w:t>
      </w:r>
      <w:r w:rsidR="004B60E2" w:rsidRPr="007D4DDF">
        <w:rPr>
          <w:szCs w:val="24"/>
        </w:rPr>
        <w:t xml:space="preserve">state </w:t>
      </w:r>
      <w:r w:rsidRPr="007D4DDF">
        <w:rPr>
          <w:szCs w:val="24"/>
        </w:rPr>
        <w:t>post</w:t>
      </w:r>
      <w:r w:rsidR="004C518C" w:rsidRPr="007D4DDF">
        <w:rPr>
          <w:szCs w:val="24"/>
        </w:rPr>
        <w:t>-</w:t>
      </w:r>
      <w:r w:rsidR="004B60E2" w:rsidRPr="007D4DDF">
        <w:rPr>
          <w:szCs w:val="24"/>
        </w:rPr>
        <w:t xml:space="preserve"> </w:t>
      </w:r>
      <w:r w:rsidRPr="007D4DDF">
        <w:rPr>
          <w:szCs w:val="24"/>
        </w:rPr>
        <w:t>World War I</w:t>
      </w:r>
      <w:r w:rsidR="00C57CC7" w:rsidRPr="007D4DDF">
        <w:rPr>
          <w:szCs w:val="24"/>
        </w:rPr>
        <w:t>I</w:t>
      </w:r>
      <w:r w:rsidRPr="007D4DDF">
        <w:rPr>
          <w:szCs w:val="24"/>
        </w:rPr>
        <w:t xml:space="preserve"> public housing provision. These variations have significant implications for security of tenure in cases of potential eviction</w:t>
      </w:r>
      <w:r w:rsidR="00EA4C34" w:rsidRPr="007D4DDF">
        <w:rPr>
          <w:szCs w:val="24"/>
        </w:rPr>
        <w:t>,</w:t>
      </w:r>
      <w:r w:rsidRPr="007D4DDF">
        <w:rPr>
          <w:szCs w:val="24"/>
        </w:rPr>
        <w:t xml:space="preserve"> as well </w:t>
      </w:r>
      <w:r w:rsidR="00F811BE" w:rsidRPr="007D4DDF">
        <w:rPr>
          <w:szCs w:val="24"/>
        </w:rPr>
        <w:t xml:space="preserve">as </w:t>
      </w:r>
      <w:r w:rsidRPr="007D4DDF">
        <w:rPr>
          <w:szCs w:val="24"/>
        </w:rPr>
        <w:t xml:space="preserve">the opportunity </w:t>
      </w:r>
      <w:r w:rsidR="004B60E2" w:rsidRPr="007D4DDF">
        <w:rPr>
          <w:szCs w:val="24"/>
        </w:rPr>
        <w:t xml:space="preserve">for </w:t>
      </w:r>
      <w:r w:rsidR="006771D4" w:rsidRPr="007D4DDF">
        <w:rPr>
          <w:szCs w:val="24"/>
        </w:rPr>
        <w:t>s</w:t>
      </w:r>
      <w:r w:rsidRPr="007D4DDF">
        <w:rPr>
          <w:szCs w:val="24"/>
        </w:rPr>
        <w:t xml:space="preserve">tate agencies to provide alternative accommodation in cases of eviction. Indeed, </w:t>
      </w:r>
      <w:r w:rsidR="004B60E2" w:rsidRPr="007D4DDF">
        <w:rPr>
          <w:szCs w:val="24"/>
        </w:rPr>
        <w:t xml:space="preserve">as shown by Caroline Hunter and Nicholas </w:t>
      </w:r>
      <w:proofErr w:type="spellStart"/>
      <w:r w:rsidR="004B60E2" w:rsidRPr="007D4DDF">
        <w:rPr>
          <w:szCs w:val="24"/>
        </w:rPr>
        <w:t>Pleace</w:t>
      </w:r>
      <w:proofErr w:type="spellEnd"/>
      <w:r w:rsidR="004B60E2" w:rsidRPr="007D4DDF">
        <w:rPr>
          <w:szCs w:val="24"/>
        </w:rPr>
        <w:t xml:space="preserve">, </w:t>
      </w:r>
      <w:r w:rsidRPr="007D4DDF">
        <w:rPr>
          <w:szCs w:val="24"/>
        </w:rPr>
        <w:t xml:space="preserve">general housing policy </w:t>
      </w:r>
      <w:r w:rsidR="004B60E2" w:rsidRPr="007D4DDF">
        <w:rPr>
          <w:szCs w:val="24"/>
        </w:rPr>
        <w:t xml:space="preserve">in the UK </w:t>
      </w:r>
      <w:r w:rsidRPr="007D4DDF">
        <w:rPr>
          <w:szCs w:val="24"/>
        </w:rPr>
        <w:t xml:space="preserve">in the years after World War II, involving a range of welfare </w:t>
      </w:r>
      <w:r w:rsidR="004B60E2" w:rsidRPr="007D4DDF">
        <w:rPr>
          <w:szCs w:val="24"/>
        </w:rPr>
        <w:t xml:space="preserve">state </w:t>
      </w:r>
      <w:r w:rsidRPr="007D4DDF">
        <w:rPr>
          <w:szCs w:val="24"/>
        </w:rPr>
        <w:t>measures</w:t>
      </w:r>
      <w:r w:rsidR="0000263C" w:rsidRPr="007D4DDF">
        <w:rPr>
          <w:szCs w:val="24"/>
        </w:rPr>
        <w:t>,</w:t>
      </w:r>
      <w:r w:rsidRPr="007D4DDF">
        <w:rPr>
          <w:szCs w:val="24"/>
        </w:rPr>
        <w:t xml:space="preserve"> </w:t>
      </w:r>
      <w:r w:rsidR="0000263C" w:rsidRPr="007D4DDF">
        <w:rPr>
          <w:szCs w:val="24"/>
        </w:rPr>
        <w:t>has had</w:t>
      </w:r>
      <w:r w:rsidRPr="007D4DDF">
        <w:rPr>
          <w:szCs w:val="24"/>
        </w:rPr>
        <w:t xml:space="preserve"> a</w:t>
      </w:r>
      <w:r w:rsidR="00EA4C34" w:rsidRPr="007D4DDF">
        <w:rPr>
          <w:szCs w:val="24"/>
        </w:rPr>
        <w:t xml:space="preserve"> major </w:t>
      </w:r>
      <w:r w:rsidRPr="007D4DDF">
        <w:rPr>
          <w:szCs w:val="24"/>
        </w:rPr>
        <w:t xml:space="preserve">impact on evictions and related homelessness. This model is being dismantled in the UK, but still exists </w:t>
      </w:r>
      <w:r w:rsidR="0000263C" w:rsidRPr="007D4DDF">
        <w:rPr>
          <w:szCs w:val="24"/>
        </w:rPr>
        <w:t xml:space="preserve">there </w:t>
      </w:r>
      <w:r w:rsidRPr="007D4DDF">
        <w:rPr>
          <w:szCs w:val="24"/>
        </w:rPr>
        <w:t xml:space="preserve">to a greater extent than </w:t>
      </w:r>
      <w:r w:rsidR="0000263C" w:rsidRPr="007D4DDF">
        <w:rPr>
          <w:szCs w:val="24"/>
        </w:rPr>
        <w:t xml:space="preserve">in </w:t>
      </w:r>
      <w:r w:rsidRPr="007D4DDF">
        <w:rPr>
          <w:szCs w:val="24"/>
        </w:rPr>
        <w:t xml:space="preserve">many other European countries. For instance, while legislation and policy since the 1980s </w:t>
      </w:r>
      <w:r w:rsidR="0000263C" w:rsidRPr="007D4DDF">
        <w:rPr>
          <w:szCs w:val="24"/>
        </w:rPr>
        <w:t xml:space="preserve">have </w:t>
      </w:r>
      <w:r w:rsidRPr="007D4DDF">
        <w:rPr>
          <w:szCs w:val="24"/>
        </w:rPr>
        <w:t>diminished</w:t>
      </w:r>
      <w:r w:rsidR="00EA4C34" w:rsidRPr="007D4DDF">
        <w:rPr>
          <w:szCs w:val="24"/>
        </w:rPr>
        <w:t xml:space="preserve"> </w:t>
      </w:r>
      <w:r w:rsidRPr="007D4DDF">
        <w:rPr>
          <w:szCs w:val="24"/>
        </w:rPr>
        <w:t xml:space="preserve">tenant security and affordable rented housing, nevertheless there are local authority supports and interventions which protect tenants and ensure that those evicted do not become homeless. </w:t>
      </w:r>
      <w:r w:rsidR="00EA4C34" w:rsidRPr="007D4DDF">
        <w:rPr>
          <w:szCs w:val="24"/>
        </w:rPr>
        <w:t xml:space="preserve">However, lack of government investment </w:t>
      </w:r>
      <w:r w:rsidR="00C57CC7" w:rsidRPr="007D4DDF">
        <w:rPr>
          <w:szCs w:val="24"/>
        </w:rPr>
        <w:t xml:space="preserve">in the UK </w:t>
      </w:r>
      <w:r w:rsidR="00EA4C34" w:rsidRPr="007D4DDF">
        <w:rPr>
          <w:szCs w:val="24"/>
        </w:rPr>
        <w:t xml:space="preserve">in new social housing means that poorer families now occupy private rented housing and cannot pay increasing rents. State housing benefits are paid to five million households at an average of £5460 (€6150) per annum. UK government policies </w:t>
      </w:r>
      <w:r w:rsidR="00D107C3">
        <w:rPr>
          <w:szCs w:val="24"/>
        </w:rPr>
        <w:t xml:space="preserve">may be </w:t>
      </w:r>
      <w:r w:rsidR="00EA4C34" w:rsidRPr="007D4DDF">
        <w:rPr>
          <w:szCs w:val="24"/>
        </w:rPr>
        <w:t xml:space="preserve">creating systemic general inequality in health care, education and housing, but with </w:t>
      </w:r>
      <w:r w:rsidR="0000263C" w:rsidRPr="007D4DDF">
        <w:rPr>
          <w:szCs w:val="24"/>
        </w:rPr>
        <w:t xml:space="preserve">state </w:t>
      </w:r>
      <w:r w:rsidR="00EA4C34" w:rsidRPr="007D4DDF">
        <w:rPr>
          <w:szCs w:val="24"/>
        </w:rPr>
        <w:t>assistance reduced to a safety net</w:t>
      </w:r>
      <w:r w:rsidR="00310F50" w:rsidRPr="007D4DDF">
        <w:rPr>
          <w:szCs w:val="24"/>
        </w:rPr>
        <w:t>.</w:t>
      </w:r>
    </w:p>
    <w:p w14:paraId="7473033F" w14:textId="77777777" w:rsidR="00DA7E20" w:rsidRPr="007D4DDF" w:rsidRDefault="002820CB" w:rsidP="00777703">
      <w:pPr>
        <w:spacing w:before="0" w:after="120" w:line="240" w:lineRule="auto"/>
        <w:rPr>
          <w:szCs w:val="24"/>
        </w:rPr>
      </w:pPr>
      <w:r w:rsidRPr="007D4DDF">
        <w:rPr>
          <w:szCs w:val="24"/>
        </w:rPr>
        <w:t xml:space="preserve">In </w:t>
      </w:r>
      <w:r w:rsidR="00EA4C34" w:rsidRPr="007D4DDF">
        <w:rPr>
          <w:szCs w:val="24"/>
        </w:rPr>
        <w:t>F</w:t>
      </w:r>
      <w:r w:rsidRPr="007D4DDF">
        <w:rPr>
          <w:szCs w:val="24"/>
        </w:rPr>
        <w:t xml:space="preserve">rance, as </w:t>
      </w:r>
      <w:r w:rsidR="00EA4C34" w:rsidRPr="007D4DDF">
        <w:rPr>
          <w:szCs w:val="24"/>
        </w:rPr>
        <w:t xml:space="preserve">Marc </w:t>
      </w:r>
      <w:proofErr w:type="spellStart"/>
      <w:r w:rsidRPr="007D4DDF">
        <w:rPr>
          <w:szCs w:val="24"/>
        </w:rPr>
        <w:t>Uhry</w:t>
      </w:r>
      <w:proofErr w:type="spellEnd"/>
      <w:r w:rsidRPr="007D4DDF">
        <w:rPr>
          <w:szCs w:val="24"/>
        </w:rPr>
        <w:t xml:space="preserve"> suggests, the legacy of the post</w:t>
      </w:r>
      <w:r w:rsidR="000D1136" w:rsidRPr="007D4DDF">
        <w:rPr>
          <w:szCs w:val="24"/>
        </w:rPr>
        <w:t>-</w:t>
      </w:r>
      <w:r w:rsidR="00D06BC2" w:rsidRPr="007D4DDF">
        <w:rPr>
          <w:szCs w:val="24"/>
        </w:rPr>
        <w:t>W</w:t>
      </w:r>
      <w:r w:rsidR="006D4871" w:rsidRPr="007D4DDF">
        <w:rPr>
          <w:szCs w:val="24"/>
        </w:rPr>
        <w:t xml:space="preserve">orld </w:t>
      </w:r>
      <w:r w:rsidR="00D06BC2" w:rsidRPr="007D4DDF">
        <w:rPr>
          <w:szCs w:val="24"/>
        </w:rPr>
        <w:t>W</w:t>
      </w:r>
      <w:r w:rsidR="006D4871" w:rsidRPr="007D4DDF">
        <w:rPr>
          <w:szCs w:val="24"/>
        </w:rPr>
        <w:t xml:space="preserve">ar </w:t>
      </w:r>
      <w:r w:rsidR="00D06BC2" w:rsidRPr="007D4DDF">
        <w:rPr>
          <w:szCs w:val="24"/>
        </w:rPr>
        <w:t>II</w:t>
      </w:r>
      <w:r w:rsidRPr="007D4DDF">
        <w:rPr>
          <w:szCs w:val="24"/>
        </w:rPr>
        <w:t xml:space="preserve"> welfare state with relatively high levels of social housing (4 million dwellings or 17 per cent of total stock)</w:t>
      </w:r>
      <w:r w:rsidR="00D872DB" w:rsidRPr="007D4DDF">
        <w:rPr>
          <w:szCs w:val="24"/>
        </w:rPr>
        <w:t>,</w:t>
      </w:r>
      <w:r w:rsidRPr="007D4DDF">
        <w:rPr>
          <w:szCs w:val="24"/>
        </w:rPr>
        <w:t xml:space="preserve"> is significant. However, there is a paradox</w:t>
      </w:r>
      <w:r w:rsidR="00751780" w:rsidRPr="007D4DDF">
        <w:rPr>
          <w:szCs w:val="24"/>
        </w:rPr>
        <w:t xml:space="preserve">, </w:t>
      </w:r>
      <w:r w:rsidRPr="007D4DDF">
        <w:rPr>
          <w:szCs w:val="24"/>
        </w:rPr>
        <w:t xml:space="preserve">whereby poor households have a relatively low housing costs burden </w:t>
      </w:r>
      <w:r w:rsidR="00EA4C34" w:rsidRPr="007D4DDF">
        <w:rPr>
          <w:szCs w:val="24"/>
        </w:rPr>
        <w:t xml:space="preserve">yet </w:t>
      </w:r>
      <w:r w:rsidRPr="007D4DDF">
        <w:rPr>
          <w:szCs w:val="24"/>
        </w:rPr>
        <w:t>are relatively more often involved in rent arrears cases and evictions.</w:t>
      </w:r>
    </w:p>
    <w:p w14:paraId="7B5080AB" w14:textId="26911E7A" w:rsidR="00D872DB" w:rsidRDefault="00D872DB" w:rsidP="00777703">
      <w:pPr>
        <w:spacing w:before="0" w:after="120" w:line="240" w:lineRule="auto"/>
        <w:rPr>
          <w:b/>
          <w:bCs/>
          <w:szCs w:val="24"/>
        </w:rPr>
      </w:pPr>
    </w:p>
    <w:p w14:paraId="284AFA13" w14:textId="5F6876E1" w:rsidR="006E160F" w:rsidRDefault="006E160F" w:rsidP="00777703">
      <w:pPr>
        <w:spacing w:before="0" w:after="120" w:line="240" w:lineRule="auto"/>
        <w:rPr>
          <w:b/>
          <w:bCs/>
          <w:szCs w:val="24"/>
        </w:rPr>
      </w:pPr>
    </w:p>
    <w:p w14:paraId="45A5769F" w14:textId="77777777" w:rsidR="006E160F" w:rsidRPr="008B1CB3" w:rsidRDefault="006E160F" w:rsidP="00777703">
      <w:pPr>
        <w:spacing w:before="0" w:after="120" w:line="240" w:lineRule="auto"/>
        <w:rPr>
          <w:b/>
          <w:bCs/>
          <w:szCs w:val="24"/>
        </w:rPr>
      </w:pPr>
    </w:p>
    <w:p w14:paraId="5A6518D4" w14:textId="6D524010" w:rsidR="002820CB" w:rsidRPr="008B1CB3" w:rsidRDefault="002820CB" w:rsidP="00777703">
      <w:pPr>
        <w:pStyle w:val="Caption"/>
        <w:spacing w:after="120"/>
        <w:rPr>
          <w:b/>
          <w:bCs/>
          <w:sz w:val="24"/>
          <w:szCs w:val="24"/>
        </w:rPr>
      </w:pPr>
      <w:r w:rsidRPr="008B1CB3">
        <w:rPr>
          <w:b/>
          <w:bCs/>
          <w:color w:val="000000"/>
          <w:sz w:val="24"/>
          <w:szCs w:val="24"/>
        </w:rPr>
        <w:lastRenderedPageBreak/>
        <w:t xml:space="preserve">Table </w:t>
      </w:r>
      <w:r w:rsidR="00195307" w:rsidRPr="008B1CB3">
        <w:rPr>
          <w:b/>
          <w:bCs/>
          <w:color w:val="000000"/>
          <w:sz w:val="24"/>
          <w:szCs w:val="24"/>
        </w:rPr>
        <w:t>I</w:t>
      </w:r>
      <w:r w:rsidRPr="008B1CB3">
        <w:rPr>
          <w:b/>
          <w:bCs/>
          <w:color w:val="000000"/>
          <w:sz w:val="24"/>
          <w:szCs w:val="24"/>
        </w:rPr>
        <w:t>.</w:t>
      </w:r>
      <w:r w:rsidR="000E6692" w:rsidRPr="008B1CB3">
        <w:rPr>
          <w:b/>
          <w:bCs/>
          <w:color w:val="000000"/>
          <w:sz w:val="24"/>
          <w:szCs w:val="24"/>
        </w:rPr>
        <w:t>3</w:t>
      </w:r>
      <w:r w:rsidR="006E160F" w:rsidRPr="008B1CB3">
        <w:rPr>
          <w:b/>
          <w:bCs/>
          <w:color w:val="000000"/>
          <w:sz w:val="24"/>
          <w:szCs w:val="24"/>
        </w:rPr>
        <w:t>.</w:t>
      </w:r>
      <w:r w:rsidR="00B72E62" w:rsidRPr="008B1CB3">
        <w:rPr>
          <w:b/>
          <w:bCs/>
          <w:color w:val="000000"/>
          <w:sz w:val="24"/>
          <w:szCs w:val="24"/>
        </w:rPr>
        <w:t xml:space="preserve"> </w:t>
      </w:r>
      <w:r w:rsidRPr="008B1CB3">
        <w:rPr>
          <w:b/>
          <w:bCs/>
          <w:color w:val="000000"/>
          <w:sz w:val="24"/>
          <w:szCs w:val="24"/>
        </w:rPr>
        <w:t xml:space="preserve">Variations of </w:t>
      </w:r>
      <w:r w:rsidR="006B2CBC" w:rsidRPr="008B1CB3">
        <w:rPr>
          <w:b/>
          <w:bCs/>
          <w:color w:val="000000"/>
          <w:sz w:val="24"/>
          <w:szCs w:val="24"/>
        </w:rPr>
        <w:t>housing tenures across the eleven countries</w:t>
      </w:r>
      <w:r w:rsidRPr="008B1CB3">
        <w:rPr>
          <w:rStyle w:val="FootnoteReference"/>
          <w:b/>
          <w:bCs/>
          <w:i w:val="0"/>
          <w:color w:val="000000"/>
          <w:sz w:val="24"/>
          <w:szCs w:val="24"/>
        </w:rPr>
        <w:footnoteReference w:id="4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527"/>
        <w:gridCol w:w="1514"/>
        <w:gridCol w:w="1289"/>
        <w:gridCol w:w="1651"/>
      </w:tblGrid>
      <w:tr w:rsidR="002820CB" w:rsidRPr="007D4DDF" w14:paraId="53F97437" w14:textId="77777777" w:rsidTr="00F83C0F">
        <w:tc>
          <w:tcPr>
            <w:tcW w:w="2201" w:type="dxa"/>
            <w:shd w:val="clear" w:color="auto" w:fill="auto"/>
          </w:tcPr>
          <w:p w14:paraId="73766ED4" w14:textId="77777777" w:rsidR="002820CB" w:rsidRPr="007D4DDF" w:rsidRDefault="002820CB" w:rsidP="00777703">
            <w:pPr>
              <w:spacing w:before="0" w:after="120" w:line="240" w:lineRule="auto"/>
              <w:rPr>
                <w:color w:val="000000"/>
                <w:szCs w:val="24"/>
              </w:rPr>
            </w:pPr>
            <w:r w:rsidRPr="007D4DDF">
              <w:rPr>
                <w:color w:val="000000"/>
                <w:szCs w:val="24"/>
              </w:rPr>
              <w:t>Country</w:t>
            </w:r>
          </w:p>
        </w:tc>
        <w:tc>
          <w:tcPr>
            <w:tcW w:w="1527" w:type="dxa"/>
            <w:shd w:val="clear" w:color="auto" w:fill="auto"/>
          </w:tcPr>
          <w:p w14:paraId="2186B7D9" w14:textId="77777777" w:rsidR="002820CB" w:rsidRPr="007D4DDF" w:rsidRDefault="002820CB" w:rsidP="00777703">
            <w:pPr>
              <w:spacing w:before="0" w:after="120" w:line="240" w:lineRule="auto"/>
              <w:rPr>
                <w:color w:val="000000"/>
                <w:szCs w:val="24"/>
              </w:rPr>
            </w:pPr>
            <w:r w:rsidRPr="007D4DDF">
              <w:rPr>
                <w:color w:val="000000"/>
                <w:szCs w:val="24"/>
              </w:rPr>
              <w:t>Owner-occupied</w:t>
            </w:r>
            <w:r w:rsidR="00395E14" w:rsidRPr="007D4DDF">
              <w:rPr>
                <w:color w:val="000000"/>
                <w:szCs w:val="24"/>
              </w:rPr>
              <w:t xml:space="preserve"> (%)</w:t>
            </w:r>
          </w:p>
        </w:tc>
        <w:tc>
          <w:tcPr>
            <w:tcW w:w="1514" w:type="dxa"/>
            <w:shd w:val="clear" w:color="auto" w:fill="auto"/>
          </w:tcPr>
          <w:p w14:paraId="4847CAFC" w14:textId="77777777" w:rsidR="002820CB" w:rsidRPr="007D4DDF" w:rsidRDefault="002820CB" w:rsidP="00777703">
            <w:pPr>
              <w:spacing w:before="0" w:after="120" w:line="240" w:lineRule="auto"/>
              <w:rPr>
                <w:color w:val="000000"/>
                <w:szCs w:val="24"/>
              </w:rPr>
            </w:pPr>
            <w:r w:rsidRPr="007D4DDF">
              <w:rPr>
                <w:color w:val="000000"/>
                <w:szCs w:val="24"/>
              </w:rPr>
              <w:t>Private Rented</w:t>
            </w:r>
            <w:r w:rsidR="00395E14" w:rsidRPr="007D4DDF">
              <w:rPr>
                <w:color w:val="000000"/>
                <w:szCs w:val="24"/>
              </w:rPr>
              <w:t xml:space="preserve"> (%)</w:t>
            </w:r>
          </w:p>
        </w:tc>
        <w:tc>
          <w:tcPr>
            <w:tcW w:w="1289" w:type="dxa"/>
            <w:shd w:val="clear" w:color="auto" w:fill="auto"/>
          </w:tcPr>
          <w:p w14:paraId="05430682" w14:textId="77777777" w:rsidR="002820CB" w:rsidRPr="007D4DDF" w:rsidRDefault="002820CB" w:rsidP="00777703">
            <w:pPr>
              <w:spacing w:before="0" w:after="120" w:line="240" w:lineRule="auto"/>
              <w:rPr>
                <w:color w:val="000000"/>
                <w:szCs w:val="24"/>
              </w:rPr>
            </w:pPr>
            <w:r w:rsidRPr="007D4DDF">
              <w:rPr>
                <w:color w:val="000000"/>
                <w:szCs w:val="24"/>
              </w:rPr>
              <w:t>Social Rented</w:t>
            </w:r>
            <w:r w:rsidR="00395E14" w:rsidRPr="007D4DDF">
              <w:rPr>
                <w:color w:val="000000"/>
                <w:szCs w:val="24"/>
              </w:rPr>
              <w:t xml:space="preserve"> (%)</w:t>
            </w:r>
          </w:p>
        </w:tc>
        <w:tc>
          <w:tcPr>
            <w:tcW w:w="1651" w:type="dxa"/>
            <w:shd w:val="clear" w:color="auto" w:fill="auto"/>
          </w:tcPr>
          <w:p w14:paraId="775D5E59" w14:textId="77777777" w:rsidR="002820CB" w:rsidRPr="007D4DDF" w:rsidRDefault="002820CB" w:rsidP="00777703">
            <w:pPr>
              <w:spacing w:before="0" w:after="120" w:line="240" w:lineRule="auto"/>
              <w:rPr>
                <w:color w:val="000000"/>
                <w:szCs w:val="24"/>
              </w:rPr>
            </w:pPr>
            <w:r w:rsidRPr="007D4DDF">
              <w:rPr>
                <w:color w:val="000000"/>
                <w:szCs w:val="24"/>
              </w:rPr>
              <w:t>Other</w:t>
            </w:r>
            <w:r w:rsidR="00395E14" w:rsidRPr="007D4DDF">
              <w:rPr>
                <w:color w:val="000000"/>
                <w:szCs w:val="24"/>
              </w:rPr>
              <w:t xml:space="preserve"> (%)</w:t>
            </w:r>
          </w:p>
        </w:tc>
      </w:tr>
      <w:tr w:rsidR="002820CB" w:rsidRPr="007D4DDF" w14:paraId="158D307C" w14:textId="77777777" w:rsidTr="00F83C0F">
        <w:tc>
          <w:tcPr>
            <w:tcW w:w="2201" w:type="dxa"/>
            <w:shd w:val="clear" w:color="auto" w:fill="auto"/>
          </w:tcPr>
          <w:p w14:paraId="23EC53CC" w14:textId="77777777" w:rsidR="002820CB" w:rsidRPr="007D4DDF" w:rsidRDefault="002820CB" w:rsidP="00395E14">
            <w:pPr>
              <w:spacing w:before="0" w:after="120" w:line="240" w:lineRule="auto"/>
              <w:rPr>
                <w:color w:val="000000"/>
                <w:szCs w:val="24"/>
              </w:rPr>
            </w:pPr>
            <w:r w:rsidRPr="007D4DDF">
              <w:rPr>
                <w:color w:val="000000"/>
                <w:szCs w:val="24"/>
              </w:rPr>
              <w:t>Belgium</w:t>
            </w:r>
            <w:r w:rsidRPr="007D4DDF">
              <w:rPr>
                <w:rStyle w:val="FootnoteReference"/>
                <w:color w:val="000000"/>
                <w:szCs w:val="24"/>
              </w:rPr>
              <w:footnoteReference w:id="46"/>
            </w:r>
          </w:p>
        </w:tc>
        <w:tc>
          <w:tcPr>
            <w:tcW w:w="1527" w:type="dxa"/>
            <w:shd w:val="clear" w:color="auto" w:fill="auto"/>
          </w:tcPr>
          <w:p w14:paraId="3C578F94" w14:textId="77777777" w:rsidR="002820CB" w:rsidRPr="007D4DDF" w:rsidRDefault="002820CB" w:rsidP="00777703">
            <w:pPr>
              <w:spacing w:before="0" w:after="120" w:line="240" w:lineRule="auto"/>
              <w:rPr>
                <w:color w:val="000000"/>
                <w:szCs w:val="24"/>
              </w:rPr>
            </w:pPr>
            <w:r w:rsidRPr="007D4DDF">
              <w:rPr>
                <w:color w:val="000000"/>
                <w:szCs w:val="24"/>
              </w:rPr>
              <w:t>64.8</w:t>
            </w:r>
          </w:p>
        </w:tc>
        <w:tc>
          <w:tcPr>
            <w:tcW w:w="1514" w:type="dxa"/>
            <w:shd w:val="clear" w:color="auto" w:fill="auto"/>
          </w:tcPr>
          <w:p w14:paraId="062BEBC6" w14:textId="77777777" w:rsidR="002820CB" w:rsidRPr="007D4DDF" w:rsidRDefault="002820CB" w:rsidP="00777703">
            <w:pPr>
              <w:spacing w:before="0" w:after="120" w:line="240" w:lineRule="auto"/>
              <w:rPr>
                <w:color w:val="000000"/>
                <w:szCs w:val="24"/>
              </w:rPr>
            </w:pPr>
            <w:r w:rsidRPr="007D4DDF">
              <w:rPr>
                <w:color w:val="000000"/>
                <w:szCs w:val="24"/>
              </w:rPr>
              <w:t>27.5</w:t>
            </w:r>
          </w:p>
        </w:tc>
        <w:tc>
          <w:tcPr>
            <w:tcW w:w="1289" w:type="dxa"/>
            <w:shd w:val="clear" w:color="auto" w:fill="auto"/>
          </w:tcPr>
          <w:p w14:paraId="5E00B796" w14:textId="77777777" w:rsidR="002820CB" w:rsidRPr="007D4DDF" w:rsidRDefault="002820CB" w:rsidP="00777703">
            <w:pPr>
              <w:spacing w:before="0" w:after="120" w:line="240" w:lineRule="auto"/>
              <w:rPr>
                <w:color w:val="000000"/>
                <w:szCs w:val="24"/>
              </w:rPr>
            </w:pPr>
            <w:r w:rsidRPr="007D4DDF">
              <w:rPr>
                <w:color w:val="000000"/>
                <w:szCs w:val="24"/>
              </w:rPr>
              <w:t>6.5</w:t>
            </w:r>
          </w:p>
        </w:tc>
        <w:tc>
          <w:tcPr>
            <w:tcW w:w="1651" w:type="dxa"/>
            <w:shd w:val="clear" w:color="auto" w:fill="auto"/>
          </w:tcPr>
          <w:p w14:paraId="5C8FD938" w14:textId="77777777" w:rsidR="002820CB" w:rsidRPr="007D4DDF" w:rsidRDefault="002820CB" w:rsidP="00777703">
            <w:pPr>
              <w:spacing w:before="0" w:after="120" w:line="240" w:lineRule="auto"/>
              <w:rPr>
                <w:color w:val="000000"/>
                <w:szCs w:val="24"/>
              </w:rPr>
            </w:pPr>
            <w:r w:rsidRPr="007D4DDF">
              <w:rPr>
                <w:color w:val="000000"/>
                <w:szCs w:val="24"/>
              </w:rPr>
              <w:t>1.2</w:t>
            </w:r>
          </w:p>
        </w:tc>
      </w:tr>
      <w:tr w:rsidR="002820CB" w:rsidRPr="007D4DDF" w14:paraId="4E4C943B" w14:textId="77777777" w:rsidTr="00F83C0F">
        <w:tc>
          <w:tcPr>
            <w:tcW w:w="2201" w:type="dxa"/>
            <w:shd w:val="clear" w:color="auto" w:fill="auto"/>
          </w:tcPr>
          <w:p w14:paraId="6489B12E" w14:textId="77777777" w:rsidR="002820CB" w:rsidRPr="007D4DDF" w:rsidRDefault="002820CB" w:rsidP="00395E14">
            <w:pPr>
              <w:spacing w:before="0" w:after="120" w:line="240" w:lineRule="auto"/>
              <w:rPr>
                <w:color w:val="000000"/>
                <w:szCs w:val="24"/>
              </w:rPr>
            </w:pPr>
            <w:r w:rsidRPr="007D4DDF">
              <w:rPr>
                <w:color w:val="000000"/>
                <w:szCs w:val="24"/>
              </w:rPr>
              <w:t>France</w:t>
            </w:r>
          </w:p>
        </w:tc>
        <w:tc>
          <w:tcPr>
            <w:tcW w:w="1527" w:type="dxa"/>
            <w:shd w:val="clear" w:color="auto" w:fill="auto"/>
          </w:tcPr>
          <w:p w14:paraId="115F0B07" w14:textId="77777777" w:rsidR="002820CB" w:rsidRPr="007D4DDF" w:rsidRDefault="002820CB" w:rsidP="00777703">
            <w:pPr>
              <w:spacing w:before="0" w:after="120" w:line="240" w:lineRule="auto"/>
              <w:rPr>
                <w:color w:val="000000"/>
                <w:szCs w:val="24"/>
              </w:rPr>
            </w:pPr>
            <w:r w:rsidRPr="007D4DDF">
              <w:rPr>
                <w:color w:val="000000"/>
                <w:szCs w:val="24"/>
              </w:rPr>
              <w:t>57.9</w:t>
            </w:r>
          </w:p>
        </w:tc>
        <w:tc>
          <w:tcPr>
            <w:tcW w:w="1514" w:type="dxa"/>
            <w:shd w:val="clear" w:color="auto" w:fill="auto"/>
          </w:tcPr>
          <w:p w14:paraId="0636D2CE" w14:textId="77777777" w:rsidR="002820CB" w:rsidRPr="007D4DDF" w:rsidRDefault="002820CB" w:rsidP="00777703">
            <w:pPr>
              <w:spacing w:before="0" w:after="120" w:line="240" w:lineRule="auto"/>
              <w:rPr>
                <w:color w:val="000000"/>
                <w:szCs w:val="24"/>
              </w:rPr>
            </w:pPr>
            <w:r w:rsidRPr="007D4DDF">
              <w:rPr>
                <w:color w:val="000000"/>
                <w:szCs w:val="24"/>
              </w:rPr>
              <w:t>23</w:t>
            </w:r>
          </w:p>
        </w:tc>
        <w:tc>
          <w:tcPr>
            <w:tcW w:w="1289" w:type="dxa"/>
            <w:shd w:val="clear" w:color="auto" w:fill="auto"/>
          </w:tcPr>
          <w:p w14:paraId="0041D25A" w14:textId="77777777" w:rsidR="002820CB" w:rsidRPr="007D4DDF" w:rsidRDefault="002820CB" w:rsidP="00777703">
            <w:pPr>
              <w:spacing w:before="0" w:after="120" w:line="240" w:lineRule="auto"/>
              <w:rPr>
                <w:color w:val="000000"/>
                <w:szCs w:val="24"/>
              </w:rPr>
            </w:pPr>
            <w:r w:rsidRPr="007D4DDF">
              <w:rPr>
                <w:color w:val="000000"/>
                <w:szCs w:val="24"/>
              </w:rPr>
              <w:t>16.8</w:t>
            </w:r>
          </w:p>
        </w:tc>
        <w:tc>
          <w:tcPr>
            <w:tcW w:w="1651" w:type="dxa"/>
            <w:shd w:val="clear" w:color="auto" w:fill="auto"/>
          </w:tcPr>
          <w:p w14:paraId="782F6BEE" w14:textId="77777777" w:rsidR="002820CB" w:rsidRPr="007D4DDF" w:rsidRDefault="002820CB" w:rsidP="00777703">
            <w:pPr>
              <w:spacing w:before="0" w:after="120" w:line="240" w:lineRule="auto"/>
              <w:rPr>
                <w:color w:val="000000"/>
                <w:szCs w:val="24"/>
              </w:rPr>
            </w:pPr>
            <w:r w:rsidRPr="007D4DDF">
              <w:rPr>
                <w:color w:val="000000"/>
                <w:szCs w:val="24"/>
              </w:rPr>
              <w:t>2.4</w:t>
            </w:r>
          </w:p>
        </w:tc>
      </w:tr>
      <w:tr w:rsidR="00751780" w:rsidRPr="007D4DDF" w14:paraId="1C313E25" w14:textId="77777777" w:rsidTr="00F83C0F">
        <w:tc>
          <w:tcPr>
            <w:tcW w:w="2201" w:type="dxa"/>
            <w:shd w:val="clear" w:color="auto" w:fill="auto"/>
          </w:tcPr>
          <w:p w14:paraId="6ADF6C94" w14:textId="77777777" w:rsidR="00751780" w:rsidRPr="007D4DDF" w:rsidRDefault="00751780" w:rsidP="00395E14">
            <w:pPr>
              <w:spacing w:before="0" w:after="120" w:line="240" w:lineRule="auto"/>
              <w:rPr>
                <w:color w:val="000000"/>
                <w:szCs w:val="24"/>
              </w:rPr>
            </w:pPr>
            <w:r w:rsidRPr="007D4DDF">
              <w:rPr>
                <w:color w:val="000000"/>
                <w:szCs w:val="24"/>
              </w:rPr>
              <w:t>Germany</w:t>
            </w:r>
          </w:p>
        </w:tc>
        <w:tc>
          <w:tcPr>
            <w:tcW w:w="1527" w:type="dxa"/>
            <w:shd w:val="clear" w:color="auto" w:fill="auto"/>
          </w:tcPr>
          <w:p w14:paraId="18555F1B" w14:textId="77777777" w:rsidR="00751780" w:rsidRPr="007D4DDF" w:rsidRDefault="00751780" w:rsidP="00777703">
            <w:pPr>
              <w:spacing w:before="0" w:after="120" w:line="240" w:lineRule="auto"/>
              <w:rPr>
                <w:color w:val="000000"/>
                <w:szCs w:val="24"/>
              </w:rPr>
            </w:pPr>
            <w:r w:rsidRPr="007D4DDF">
              <w:rPr>
                <w:color w:val="000000"/>
                <w:szCs w:val="24"/>
              </w:rPr>
              <w:t>45.4</w:t>
            </w:r>
          </w:p>
        </w:tc>
        <w:tc>
          <w:tcPr>
            <w:tcW w:w="1514" w:type="dxa"/>
            <w:shd w:val="clear" w:color="auto" w:fill="auto"/>
          </w:tcPr>
          <w:p w14:paraId="1E2E53AC" w14:textId="77777777" w:rsidR="00751780" w:rsidRPr="007D4DDF" w:rsidRDefault="00751780" w:rsidP="00777703">
            <w:pPr>
              <w:spacing w:before="0" w:after="120" w:line="240" w:lineRule="auto"/>
              <w:rPr>
                <w:color w:val="000000"/>
                <w:szCs w:val="24"/>
              </w:rPr>
            </w:pPr>
            <w:r w:rsidRPr="007D4DDF">
              <w:rPr>
                <w:color w:val="000000"/>
                <w:szCs w:val="24"/>
              </w:rPr>
              <w:t>50.7</w:t>
            </w:r>
          </w:p>
        </w:tc>
        <w:tc>
          <w:tcPr>
            <w:tcW w:w="1289" w:type="dxa"/>
            <w:shd w:val="clear" w:color="auto" w:fill="auto"/>
          </w:tcPr>
          <w:p w14:paraId="724C9E2F" w14:textId="77777777" w:rsidR="00751780" w:rsidRPr="007D4DDF" w:rsidRDefault="00751780" w:rsidP="00777703">
            <w:pPr>
              <w:spacing w:before="0" w:after="120" w:line="240" w:lineRule="auto"/>
              <w:rPr>
                <w:color w:val="000000"/>
                <w:szCs w:val="24"/>
              </w:rPr>
            </w:pPr>
            <w:r w:rsidRPr="007D4DDF">
              <w:rPr>
                <w:color w:val="000000"/>
                <w:szCs w:val="24"/>
              </w:rPr>
              <w:t>3.9</w:t>
            </w:r>
          </w:p>
        </w:tc>
        <w:tc>
          <w:tcPr>
            <w:tcW w:w="1651" w:type="dxa"/>
            <w:shd w:val="clear" w:color="auto" w:fill="auto"/>
          </w:tcPr>
          <w:p w14:paraId="005D73D4" w14:textId="77777777" w:rsidR="00751780" w:rsidRPr="007D4DDF" w:rsidRDefault="00751780" w:rsidP="00777703">
            <w:pPr>
              <w:spacing w:before="0" w:after="120" w:line="240" w:lineRule="auto"/>
              <w:rPr>
                <w:color w:val="000000"/>
                <w:szCs w:val="24"/>
              </w:rPr>
            </w:pPr>
          </w:p>
        </w:tc>
      </w:tr>
      <w:tr w:rsidR="002820CB" w:rsidRPr="007D4DDF" w14:paraId="25DA9F9E" w14:textId="77777777" w:rsidTr="00F83C0F">
        <w:tc>
          <w:tcPr>
            <w:tcW w:w="2201" w:type="dxa"/>
            <w:shd w:val="clear" w:color="auto" w:fill="auto"/>
          </w:tcPr>
          <w:p w14:paraId="2829D8C7" w14:textId="77777777" w:rsidR="002820CB" w:rsidRPr="007D4DDF" w:rsidRDefault="002820CB" w:rsidP="00395E14">
            <w:pPr>
              <w:spacing w:before="0" w:after="120" w:line="240" w:lineRule="auto"/>
              <w:rPr>
                <w:color w:val="000000"/>
                <w:szCs w:val="24"/>
              </w:rPr>
            </w:pPr>
            <w:r w:rsidRPr="007D4DDF">
              <w:rPr>
                <w:color w:val="000000"/>
                <w:szCs w:val="24"/>
              </w:rPr>
              <w:t>Hungary</w:t>
            </w:r>
            <w:r w:rsidRPr="007D4DDF">
              <w:rPr>
                <w:rStyle w:val="FootnoteReference"/>
                <w:color w:val="000000"/>
                <w:szCs w:val="24"/>
              </w:rPr>
              <w:footnoteReference w:id="47"/>
            </w:r>
          </w:p>
        </w:tc>
        <w:tc>
          <w:tcPr>
            <w:tcW w:w="1527" w:type="dxa"/>
            <w:shd w:val="clear" w:color="auto" w:fill="auto"/>
          </w:tcPr>
          <w:p w14:paraId="686E0928" w14:textId="77777777" w:rsidR="002820CB" w:rsidRPr="007D4DDF" w:rsidRDefault="002820CB" w:rsidP="00777703">
            <w:pPr>
              <w:spacing w:before="0" w:after="120" w:line="240" w:lineRule="auto"/>
              <w:rPr>
                <w:color w:val="000000"/>
                <w:szCs w:val="24"/>
              </w:rPr>
            </w:pPr>
            <w:r w:rsidRPr="007D4DDF">
              <w:rPr>
                <w:color w:val="000000"/>
                <w:szCs w:val="24"/>
              </w:rPr>
              <w:t>92</w:t>
            </w:r>
          </w:p>
        </w:tc>
        <w:tc>
          <w:tcPr>
            <w:tcW w:w="1514" w:type="dxa"/>
            <w:shd w:val="clear" w:color="auto" w:fill="auto"/>
          </w:tcPr>
          <w:p w14:paraId="60622C94" w14:textId="77777777" w:rsidR="002820CB" w:rsidRPr="007D4DDF" w:rsidRDefault="002820CB" w:rsidP="00777703">
            <w:pPr>
              <w:spacing w:before="0" w:after="120" w:line="240" w:lineRule="auto"/>
              <w:rPr>
                <w:color w:val="000000"/>
                <w:szCs w:val="24"/>
              </w:rPr>
            </w:pPr>
            <w:r w:rsidRPr="007D4DDF">
              <w:rPr>
                <w:color w:val="000000"/>
                <w:szCs w:val="24"/>
              </w:rPr>
              <w:t>4</w:t>
            </w:r>
          </w:p>
        </w:tc>
        <w:tc>
          <w:tcPr>
            <w:tcW w:w="1289" w:type="dxa"/>
            <w:shd w:val="clear" w:color="auto" w:fill="auto"/>
          </w:tcPr>
          <w:p w14:paraId="31551CEE" w14:textId="77777777" w:rsidR="002820CB" w:rsidRPr="007D4DDF" w:rsidRDefault="002820CB" w:rsidP="00777703">
            <w:pPr>
              <w:spacing w:before="0" w:after="120" w:line="240" w:lineRule="auto"/>
              <w:rPr>
                <w:color w:val="000000"/>
                <w:szCs w:val="24"/>
              </w:rPr>
            </w:pPr>
            <w:r w:rsidRPr="007D4DDF">
              <w:rPr>
                <w:color w:val="000000"/>
                <w:szCs w:val="24"/>
              </w:rPr>
              <w:t>3</w:t>
            </w:r>
          </w:p>
        </w:tc>
        <w:tc>
          <w:tcPr>
            <w:tcW w:w="1651" w:type="dxa"/>
            <w:shd w:val="clear" w:color="auto" w:fill="auto"/>
          </w:tcPr>
          <w:p w14:paraId="2943B745" w14:textId="77777777" w:rsidR="002820CB" w:rsidRPr="007D4DDF" w:rsidRDefault="002820CB" w:rsidP="00777703">
            <w:pPr>
              <w:spacing w:before="0" w:after="120" w:line="240" w:lineRule="auto"/>
              <w:rPr>
                <w:color w:val="000000"/>
                <w:szCs w:val="24"/>
              </w:rPr>
            </w:pPr>
            <w:r w:rsidRPr="007D4DDF">
              <w:rPr>
                <w:color w:val="000000"/>
                <w:szCs w:val="24"/>
              </w:rPr>
              <w:t>1</w:t>
            </w:r>
            <w:r w:rsidRPr="007D4DDF">
              <w:rPr>
                <w:rStyle w:val="FootnoteReference"/>
                <w:color w:val="000000"/>
                <w:szCs w:val="24"/>
              </w:rPr>
              <w:footnoteReference w:id="48"/>
            </w:r>
          </w:p>
        </w:tc>
      </w:tr>
      <w:tr w:rsidR="002820CB" w:rsidRPr="007D4DDF" w14:paraId="601738B8" w14:textId="77777777" w:rsidTr="00F83C0F">
        <w:tc>
          <w:tcPr>
            <w:tcW w:w="2201" w:type="dxa"/>
            <w:shd w:val="clear" w:color="auto" w:fill="auto"/>
          </w:tcPr>
          <w:p w14:paraId="4F2A4A29" w14:textId="77777777" w:rsidR="002820CB" w:rsidRPr="007D4DDF" w:rsidRDefault="002820CB" w:rsidP="00395E14">
            <w:pPr>
              <w:spacing w:before="0" w:after="120" w:line="240" w:lineRule="auto"/>
              <w:rPr>
                <w:color w:val="000000"/>
                <w:szCs w:val="24"/>
              </w:rPr>
            </w:pPr>
            <w:r w:rsidRPr="007D4DDF">
              <w:rPr>
                <w:color w:val="000000"/>
                <w:szCs w:val="24"/>
              </w:rPr>
              <w:t>Ireland</w:t>
            </w:r>
            <w:r w:rsidRPr="007D4DDF">
              <w:rPr>
                <w:rStyle w:val="FootnoteReference"/>
                <w:color w:val="000000"/>
                <w:szCs w:val="24"/>
              </w:rPr>
              <w:footnoteReference w:id="49"/>
            </w:r>
          </w:p>
        </w:tc>
        <w:tc>
          <w:tcPr>
            <w:tcW w:w="1527" w:type="dxa"/>
            <w:shd w:val="clear" w:color="auto" w:fill="auto"/>
          </w:tcPr>
          <w:p w14:paraId="246BF7F7" w14:textId="77777777" w:rsidR="002820CB" w:rsidRPr="007D4DDF" w:rsidRDefault="002820CB" w:rsidP="00777703">
            <w:pPr>
              <w:spacing w:before="0" w:after="120" w:line="240" w:lineRule="auto"/>
              <w:rPr>
                <w:color w:val="000000"/>
                <w:szCs w:val="24"/>
              </w:rPr>
            </w:pPr>
            <w:r w:rsidRPr="007D4DDF">
              <w:rPr>
                <w:color w:val="000000"/>
                <w:szCs w:val="24"/>
              </w:rPr>
              <w:t>67.6</w:t>
            </w:r>
          </w:p>
        </w:tc>
        <w:tc>
          <w:tcPr>
            <w:tcW w:w="1514" w:type="dxa"/>
            <w:shd w:val="clear" w:color="auto" w:fill="auto"/>
          </w:tcPr>
          <w:p w14:paraId="5D1475E0" w14:textId="77777777" w:rsidR="002820CB" w:rsidRPr="007D4DDF" w:rsidRDefault="002820CB" w:rsidP="00777703">
            <w:pPr>
              <w:spacing w:before="0" w:after="120" w:line="240" w:lineRule="auto"/>
              <w:rPr>
                <w:color w:val="000000"/>
                <w:szCs w:val="24"/>
              </w:rPr>
            </w:pPr>
            <w:r w:rsidRPr="007D4DDF">
              <w:rPr>
                <w:color w:val="000000"/>
                <w:szCs w:val="24"/>
              </w:rPr>
              <w:t>20.6</w:t>
            </w:r>
          </w:p>
        </w:tc>
        <w:tc>
          <w:tcPr>
            <w:tcW w:w="1289" w:type="dxa"/>
            <w:shd w:val="clear" w:color="auto" w:fill="auto"/>
          </w:tcPr>
          <w:p w14:paraId="74FB0696" w14:textId="77777777" w:rsidR="002820CB" w:rsidRPr="007D4DDF" w:rsidRDefault="002820CB" w:rsidP="00777703">
            <w:pPr>
              <w:spacing w:before="0" w:after="120" w:line="240" w:lineRule="auto"/>
              <w:rPr>
                <w:color w:val="000000"/>
                <w:szCs w:val="24"/>
              </w:rPr>
            </w:pPr>
            <w:r w:rsidRPr="007D4DDF">
              <w:rPr>
                <w:color w:val="000000"/>
                <w:szCs w:val="24"/>
              </w:rPr>
              <w:t>8.7</w:t>
            </w:r>
          </w:p>
        </w:tc>
        <w:tc>
          <w:tcPr>
            <w:tcW w:w="1651" w:type="dxa"/>
            <w:shd w:val="clear" w:color="auto" w:fill="auto"/>
          </w:tcPr>
          <w:p w14:paraId="5D389E21" w14:textId="77777777" w:rsidR="002820CB" w:rsidRPr="007D4DDF" w:rsidRDefault="002820CB" w:rsidP="00777703">
            <w:pPr>
              <w:spacing w:before="0" w:after="120" w:line="240" w:lineRule="auto"/>
              <w:rPr>
                <w:color w:val="000000"/>
                <w:szCs w:val="24"/>
              </w:rPr>
            </w:pPr>
            <w:r w:rsidRPr="007D4DDF">
              <w:rPr>
                <w:color w:val="000000"/>
                <w:szCs w:val="24"/>
              </w:rPr>
              <w:t>3.1</w:t>
            </w:r>
          </w:p>
        </w:tc>
      </w:tr>
      <w:tr w:rsidR="002820CB" w:rsidRPr="007D4DDF" w14:paraId="7878845C" w14:textId="77777777" w:rsidTr="00F83C0F">
        <w:tc>
          <w:tcPr>
            <w:tcW w:w="2201" w:type="dxa"/>
            <w:shd w:val="clear" w:color="auto" w:fill="auto"/>
          </w:tcPr>
          <w:p w14:paraId="75E7D7C9" w14:textId="77777777" w:rsidR="002820CB" w:rsidRPr="007D4DDF" w:rsidRDefault="002820CB" w:rsidP="00395E14">
            <w:pPr>
              <w:spacing w:before="0" w:after="120" w:line="240" w:lineRule="auto"/>
              <w:rPr>
                <w:color w:val="000000"/>
                <w:szCs w:val="24"/>
              </w:rPr>
            </w:pPr>
            <w:r w:rsidRPr="007D4DDF">
              <w:rPr>
                <w:color w:val="000000"/>
                <w:szCs w:val="24"/>
              </w:rPr>
              <w:t>Italy</w:t>
            </w:r>
          </w:p>
        </w:tc>
        <w:tc>
          <w:tcPr>
            <w:tcW w:w="1527" w:type="dxa"/>
            <w:shd w:val="clear" w:color="auto" w:fill="auto"/>
          </w:tcPr>
          <w:p w14:paraId="5A4E3E44" w14:textId="77777777" w:rsidR="002820CB" w:rsidRPr="007D4DDF" w:rsidRDefault="002820CB" w:rsidP="00777703">
            <w:pPr>
              <w:spacing w:before="0" w:after="120" w:line="240" w:lineRule="auto"/>
              <w:rPr>
                <w:color w:val="000000"/>
                <w:szCs w:val="24"/>
              </w:rPr>
            </w:pPr>
            <w:r w:rsidRPr="007D4DDF">
              <w:rPr>
                <w:color w:val="000000"/>
                <w:szCs w:val="24"/>
              </w:rPr>
              <w:t>71.9</w:t>
            </w:r>
          </w:p>
        </w:tc>
        <w:tc>
          <w:tcPr>
            <w:tcW w:w="1514" w:type="dxa"/>
            <w:shd w:val="clear" w:color="auto" w:fill="auto"/>
          </w:tcPr>
          <w:p w14:paraId="06B7A779" w14:textId="77777777" w:rsidR="002820CB" w:rsidRPr="007D4DDF" w:rsidRDefault="002820CB" w:rsidP="00777703">
            <w:pPr>
              <w:spacing w:before="0" w:after="120" w:line="240" w:lineRule="auto"/>
              <w:rPr>
                <w:color w:val="000000"/>
                <w:szCs w:val="24"/>
              </w:rPr>
            </w:pPr>
            <w:r w:rsidRPr="007D4DDF">
              <w:rPr>
                <w:color w:val="000000"/>
                <w:szCs w:val="24"/>
              </w:rPr>
              <w:t>14.8</w:t>
            </w:r>
          </w:p>
        </w:tc>
        <w:tc>
          <w:tcPr>
            <w:tcW w:w="1289" w:type="dxa"/>
            <w:shd w:val="clear" w:color="auto" w:fill="auto"/>
          </w:tcPr>
          <w:p w14:paraId="4EA08E98" w14:textId="77777777" w:rsidR="002820CB" w:rsidRPr="007D4DDF" w:rsidRDefault="002820CB" w:rsidP="00777703">
            <w:pPr>
              <w:spacing w:before="0" w:after="120" w:line="240" w:lineRule="auto"/>
              <w:rPr>
                <w:color w:val="000000"/>
                <w:szCs w:val="24"/>
              </w:rPr>
            </w:pPr>
            <w:r w:rsidRPr="007D4DDF">
              <w:rPr>
                <w:color w:val="000000"/>
                <w:szCs w:val="24"/>
              </w:rPr>
              <w:t>3.7</w:t>
            </w:r>
          </w:p>
        </w:tc>
        <w:tc>
          <w:tcPr>
            <w:tcW w:w="1651" w:type="dxa"/>
            <w:shd w:val="clear" w:color="auto" w:fill="auto"/>
          </w:tcPr>
          <w:p w14:paraId="008B3B8F" w14:textId="77777777" w:rsidR="002820CB" w:rsidRPr="007D4DDF" w:rsidRDefault="002820CB" w:rsidP="00777703">
            <w:pPr>
              <w:spacing w:before="0" w:after="120" w:line="240" w:lineRule="auto"/>
              <w:rPr>
                <w:color w:val="000000"/>
                <w:szCs w:val="24"/>
              </w:rPr>
            </w:pPr>
            <w:r w:rsidRPr="007D4DDF">
              <w:rPr>
                <w:color w:val="000000"/>
                <w:szCs w:val="24"/>
              </w:rPr>
              <w:t>9.6</w:t>
            </w:r>
          </w:p>
        </w:tc>
      </w:tr>
      <w:tr w:rsidR="002820CB" w:rsidRPr="007D4DDF" w14:paraId="4177F3DE" w14:textId="77777777" w:rsidTr="00F83C0F">
        <w:tc>
          <w:tcPr>
            <w:tcW w:w="2201" w:type="dxa"/>
            <w:shd w:val="clear" w:color="auto" w:fill="auto"/>
          </w:tcPr>
          <w:p w14:paraId="427AAC18" w14:textId="77777777" w:rsidR="002820CB" w:rsidRPr="007D4DDF" w:rsidRDefault="002820CB" w:rsidP="00395E14">
            <w:pPr>
              <w:spacing w:before="0" w:after="120" w:line="240" w:lineRule="auto"/>
              <w:rPr>
                <w:color w:val="000000"/>
                <w:szCs w:val="24"/>
              </w:rPr>
            </w:pPr>
            <w:r w:rsidRPr="007D4DDF">
              <w:rPr>
                <w:color w:val="000000"/>
                <w:szCs w:val="24"/>
              </w:rPr>
              <w:t>Poland</w:t>
            </w:r>
          </w:p>
        </w:tc>
        <w:tc>
          <w:tcPr>
            <w:tcW w:w="1527" w:type="dxa"/>
            <w:shd w:val="clear" w:color="auto" w:fill="auto"/>
          </w:tcPr>
          <w:p w14:paraId="7728DEAC" w14:textId="77777777" w:rsidR="002820CB" w:rsidRPr="007D4DDF" w:rsidRDefault="002820CB" w:rsidP="00777703">
            <w:pPr>
              <w:spacing w:before="0" w:after="120" w:line="240" w:lineRule="auto"/>
              <w:rPr>
                <w:color w:val="000000"/>
                <w:szCs w:val="24"/>
              </w:rPr>
            </w:pPr>
            <w:r w:rsidRPr="007D4DDF">
              <w:rPr>
                <w:color w:val="000000"/>
                <w:szCs w:val="24"/>
              </w:rPr>
              <w:t>75.4</w:t>
            </w:r>
          </w:p>
        </w:tc>
        <w:tc>
          <w:tcPr>
            <w:tcW w:w="1514" w:type="dxa"/>
            <w:shd w:val="clear" w:color="auto" w:fill="auto"/>
          </w:tcPr>
          <w:p w14:paraId="75F35109" w14:textId="77777777" w:rsidR="002820CB" w:rsidRPr="007D4DDF" w:rsidRDefault="002820CB" w:rsidP="00777703">
            <w:pPr>
              <w:spacing w:before="0" w:after="120" w:line="240" w:lineRule="auto"/>
              <w:rPr>
                <w:color w:val="000000"/>
                <w:szCs w:val="24"/>
              </w:rPr>
            </w:pPr>
            <w:r w:rsidRPr="007D4DDF">
              <w:rPr>
                <w:color w:val="000000"/>
                <w:szCs w:val="24"/>
              </w:rPr>
              <w:t>0.8</w:t>
            </w:r>
          </w:p>
        </w:tc>
        <w:tc>
          <w:tcPr>
            <w:tcW w:w="1289" w:type="dxa"/>
            <w:shd w:val="clear" w:color="auto" w:fill="auto"/>
          </w:tcPr>
          <w:p w14:paraId="1278BD7C" w14:textId="77777777" w:rsidR="002820CB" w:rsidRPr="007D4DDF" w:rsidRDefault="002820CB" w:rsidP="00777703">
            <w:pPr>
              <w:spacing w:before="0" w:after="120" w:line="240" w:lineRule="auto"/>
              <w:rPr>
                <w:color w:val="000000"/>
                <w:szCs w:val="24"/>
              </w:rPr>
            </w:pPr>
            <w:r w:rsidRPr="007D4DDF">
              <w:rPr>
                <w:color w:val="000000"/>
                <w:szCs w:val="24"/>
              </w:rPr>
              <w:t>7.6</w:t>
            </w:r>
          </w:p>
        </w:tc>
        <w:tc>
          <w:tcPr>
            <w:tcW w:w="1651" w:type="dxa"/>
            <w:shd w:val="clear" w:color="auto" w:fill="auto"/>
          </w:tcPr>
          <w:p w14:paraId="3D09F139" w14:textId="77777777" w:rsidR="002820CB" w:rsidRPr="007D4DDF" w:rsidRDefault="002820CB" w:rsidP="00777703">
            <w:pPr>
              <w:spacing w:before="0" w:after="120" w:line="240" w:lineRule="auto"/>
              <w:rPr>
                <w:color w:val="000000"/>
                <w:szCs w:val="24"/>
              </w:rPr>
            </w:pPr>
            <w:r w:rsidRPr="007D4DDF">
              <w:rPr>
                <w:color w:val="000000"/>
                <w:szCs w:val="24"/>
              </w:rPr>
              <w:t>16.2</w:t>
            </w:r>
            <w:r w:rsidRPr="007D4DDF">
              <w:rPr>
                <w:rStyle w:val="FootnoteReference"/>
                <w:color w:val="000000"/>
                <w:szCs w:val="24"/>
              </w:rPr>
              <w:footnoteReference w:id="50"/>
            </w:r>
          </w:p>
        </w:tc>
      </w:tr>
      <w:tr w:rsidR="002820CB" w:rsidRPr="007D4DDF" w14:paraId="7A0AA3B4" w14:textId="77777777" w:rsidTr="00F83C0F">
        <w:tc>
          <w:tcPr>
            <w:tcW w:w="2201" w:type="dxa"/>
            <w:shd w:val="clear" w:color="auto" w:fill="auto"/>
          </w:tcPr>
          <w:p w14:paraId="31D37586" w14:textId="77777777" w:rsidR="002820CB" w:rsidRPr="007D4DDF" w:rsidRDefault="002820CB" w:rsidP="00395E14">
            <w:pPr>
              <w:spacing w:before="0" w:after="120" w:line="240" w:lineRule="auto"/>
              <w:rPr>
                <w:color w:val="000000"/>
                <w:szCs w:val="24"/>
              </w:rPr>
            </w:pPr>
            <w:r w:rsidRPr="007D4DDF">
              <w:rPr>
                <w:color w:val="000000"/>
                <w:szCs w:val="24"/>
              </w:rPr>
              <w:t>Slovenia</w:t>
            </w:r>
          </w:p>
        </w:tc>
        <w:tc>
          <w:tcPr>
            <w:tcW w:w="1527" w:type="dxa"/>
            <w:shd w:val="clear" w:color="auto" w:fill="auto"/>
          </w:tcPr>
          <w:p w14:paraId="18506269" w14:textId="77777777" w:rsidR="002820CB" w:rsidRPr="007D4DDF" w:rsidRDefault="002820CB" w:rsidP="00777703">
            <w:pPr>
              <w:spacing w:before="0" w:after="120" w:line="240" w:lineRule="auto"/>
              <w:rPr>
                <w:color w:val="000000"/>
                <w:szCs w:val="24"/>
              </w:rPr>
            </w:pPr>
            <w:r w:rsidRPr="007D4DDF">
              <w:rPr>
                <w:color w:val="000000"/>
                <w:szCs w:val="24"/>
              </w:rPr>
              <w:t>77</w:t>
            </w:r>
          </w:p>
        </w:tc>
        <w:tc>
          <w:tcPr>
            <w:tcW w:w="1514" w:type="dxa"/>
            <w:shd w:val="clear" w:color="auto" w:fill="auto"/>
          </w:tcPr>
          <w:p w14:paraId="5EDC099E" w14:textId="77777777" w:rsidR="002820CB" w:rsidRPr="007D4DDF" w:rsidRDefault="002820CB" w:rsidP="00777703">
            <w:pPr>
              <w:spacing w:before="0" w:after="120" w:line="240" w:lineRule="auto"/>
              <w:rPr>
                <w:color w:val="000000"/>
                <w:szCs w:val="24"/>
              </w:rPr>
            </w:pPr>
            <w:r w:rsidRPr="007D4DDF">
              <w:rPr>
                <w:color w:val="000000"/>
                <w:szCs w:val="24"/>
              </w:rPr>
              <w:t>3</w:t>
            </w:r>
          </w:p>
        </w:tc>
        <w:tc>
          <w:tcPr>
            <w:tcW w:w="1289" w:type="dxa"/>
            <w:shd w:val="clear" w:color="auto" w:fill="auto"/>
          </w:tcPr>
          <w:p w14:paraId="3A69EA6F" w14:textId="77777777" w:rsidR="002820CB" w:rsidRPr="007D4DDF" w:rsidRDefault="002820CB" w:rsidP="00777703">
            <w:pPr>
              <w:spacing w:before="0" w:after="120" w:line="240" w:lineRule="auto"/>
              <w:rPr>
                <w:color w:val="000000"/>
                <w:szCs w:val="24"/>
              </w:rPr>
            </w:pPr>
            <w:r w:rsidRPr="007D4DDF">
              <w:rPr>
                <w:color w:val="000000"/>
                <w:szCs w:val="24"/>
              </w:rPr>
              <w:t>6</w:t>
            </w:r>
          </w:p>
        </w:tc>
        <w:tc>
          <w:tcPr>
            <w:tcW w:w="1651" w:type="dxa"/>
            <w:shd w:val="clear" w:color="auto" w:fill="auto"/>
          </w:tcPr>
          <w:p w14:paraId="0C537DB8" w14:textId="77777777" w:rsidR="002820CB" w:rsidRPr="007D4DDF" w:rsidRDefault="002820CB" w:rsidP="00777703">
            <w:pPr>
              <w:spacing w:before="0" w:after="120" w:line="240" w:lineRule="auto"/>
              <w:rPr>
                <w:color w:val="000000"/>
                <w:szCs w:val="24"/>
              </w:rPr>
            </w:pPr>
            <w:r w:rsidRPr="007D4DDF">
              <w:rPr>
                <w:color w:val="000000"/>
                <w:szCs w:val="24"/>
              </w:rPr>
              <w:t>14</w:t>
            </w:r>
          </w:p>
        </w:tc>
      </w:tr>
      <w:tr w:rsidR="002820CB" w:rsidRPr="007D4DDF" w14:paraId="33FB46AF" w14:textId="77777777" w:rsidTr="00F83C0F">
        <w:tc>
          <w:tcPr>
            <w:tcW w:w="2201" w:type="dxa"/>
            <w:shd w:val="clear" w:color="auto" w:fill="auto"/>
          </w:tcPr>
          <w:p w14:paraId="05372283" w14:textId="77777777" w:rsidR="002820CB" w:rsidRPr="007D4DDF" w:rsidRDefault="002820CB" w:rsidP="00395E14">
            <w:pPr>
              <w:spacing w:before="0" w:after="120" w:line="240" w:lineRule="auto"/>
              <w:rPr>
                <w:color w:val="000000"/>
                <w:szCs w:val="24"/>
              </w:rPr>
            </w:pPr>
            <w:r w:rsidRPr="007D4DDF">
              <w:rPr>
                <w:color w:val="000000"/>
                <w:szCs w:val="24"/>
              </w:rPr>
              <w:t>Spain</w:t>
            </w:r>
          </w:p>
        </w:tc>
        <w:tc>
          <w:tcPr>
            <w:tcW w:w="1527" w:type="dxa"/>
            <w:shd w:val="clear" w:color="auto" w:fill="auto"/>
          </w:tcPr>
          <w:p w14:paraId="2F33A148" w14:textId="77777777" w:rsidR="002820CB" w:rsidRPr="007D4DDF" w:rsidRDefault="002820CB" w:rsidP="00777703">
            <w:pPr>
              <w:spacing w:before="0" w:after="120" w:line="240" w:lineRule="auto"/>
              <w:rPr>
                <w:color w:val="000000"/>
                <w:szCs w:val="24"/>
              </w:rPr>
            </w:pPr>
            <w:r w:rsidRPr="007D4DDF">
              <w:rPr>
                <w:color w:val="000000"/>
                <w:szCs w:val="24"/>
              </w:rPr>
              <w:t>77.1</w:t>
            </w:r>
          </w:p>
        </w:tc>
        <w:tc>
          <w:tcPr>
            <w:tcW w:w="1514" w:type="dxa"/>
            <w:shd w:val="clear" w:color="auto" w:fill="auto"/>
          </w:tcPr>
          <w:p w14:paraId="6ABF08A4" w14:textId="77777777" w:rsidR="002820CB" w:rsidRPr="007D4DDF" w:rsidRDefault="002820CB" w:rsidP="00777703">
            <w:pPr>
              <w:spacing w:before="0" w:after="120" w:line="240" w:lineRule="auto"/>
              <w:rPr>
                <w:color w:val="000000"/>
                <w:szCs w:val="24"/>
              </w:rPr>
            </w:pPr>
            <w:r w:rsidRPr="007D4DDF">
              <w:rPr>
                <w:color w:val="000000"/>
                <w:szCs w:val="24"/>
              </w:rPr>
              <w:t>13.8</w:t>
            </w:r>
          </w:p>
        </w:tc>
        <w:tc>
          <w:tcPr>
            <w:tcW w:w="1289" w:type="dxa"/>
            <w:shd w:val="clear" w:color="auto" w:fill="auto"/>
          </w:tcPr>
          <w:p w14:paraId="3DBB7257" w14:textId="77777777" w:rsidR="002820CB" w:rsidRPr="007D4DDF" w:rsidRDefault="002820CB" w:rsidP="00777703">
            <w:pPr>
              <w:spacing w:before="0" w:after="120" w:line="240" w:lineRule="auto"/>
              <w:rPr>
                <w:color w:val="000000"/>
                <w:szCs w:val="24"/>
              </w:rPr>
            </w:pPr>
            <w:r w:rsidRPr="007D4DDF">
              <w:rPr>
                <w:color w:val="000000"/>
                <w:szCs w:val="24"/>
              </w:rPr>
              <w:t>2.5</w:t>
            </w:r>
          </w:p>
        </w:tc>
        <w:tc>
          <w:tcPr>
            <w:tcW w:w="1651" w:type="dxa"/>
            <w:shd w:val="clear" w:color="auto" w:fill="auto"/>
          </w:tcPr>
          <w:p w14:paraId="5B1E499F" w14:textId="77777777" w:rsidR="002820CB" w:rsidRPr="007D4DDF" w:rsidRDefault="002820CB" w:rsidP="00777703">
            <w:pPr>
              <w:spacing w:before="0" w:after="120" w:line="240" w:lineRule="auto"/>
              <w:rPr>
                <w:color w:val="000000"/>
                <w:szCs w:val="24"/>
              </w:rPr>
            </w:pPr>
            <w:r w:rsidRPr="007D4DDF">
              <w:rPr>
                <w:color w:val="000000"/>
                <w:szCs w:val="24"/>
              </w:rPr>
              <w:t>6.5</w:t>
            </w:r>
          </w:p>
        </w:tc>
      </w:tr>
      <w:tr w:rsidR="002820CB" w:rsidRPr="007D4DDF" w14:paraId="3436228D" w14:textId="77777777" w:rsidTr="00F83C0F">
        <w:tc>
          <w:tcPr>
            <w:tcW w:w="2201" w:type="dxa"/>
            <w:shd w:val="clear" w:color="auto" w:fill="auto"/>
          </w:tcPr>
          <w:p w14:paraId="49D36CF5" w14:textId="77777777" w:rsidR="002820CB" w:rsidRPr="007D4DDF" w:rsidRDefault="002820CB" w:rsidP="00395E14">
            <w:pPr>
              <w:spacing w:before="0" w:after="120" w:line="240" w:lineRule="auto"/>
              <w:rPr>
                <w:color w:val="000000"/>
                <w:szCs w:val="24"/>
              </w:rPr>
            </w:pPr>
            <w:r w:rsidRPr="007D4DDF">
              <w:rPr>
                <w:color w:val="000000"/>
                <w:szCs w:val="24"/>
              </w:rPr>
              <w:t>The Netherlands</w:t>
            </w:r>
          </w:p>
        </w:tc>
        <w:tc>
          <w:tcPr>
            <w:tcW w:w="1527" w:type="dxa"/>
            <w:shd w:val="clear" w:color="auto" w:fill="auto"/>
          </w:tcPr>
          <w:p w14:paraId="4F07D47C" w14:textId="77777777" w:rsidR="002820CB" w:rsidRPr="007D4DDF" w:rsidRDefault="002820CB" w:rsidP="00777703">
            <w:pPr>
              <w:spacing w:before="0" w:after="120" w:line="240" w:lineRule="auto"/>
              <w:rPr>
                <w:color w:val="000000"/>
                <w:szCs w:val="24"/>
              </w:rPr>
            </w:pPr>
            <w:r w:rsidRPr="007D4DDF">
              <w:rPr>
                <w:color w:val="000000"/>
                <w:szCs w:val="24"/>
              </w:rPr>
              <w:t>60</w:t>
            </w:r>
          </w:p>
        </w:tc>
        <w:tc>
          <w:tcPr>
            <w:tcW w:w="1514" w:type="dxa"/>
            <w:shd w:val="clear" w:color="auto" w:fill="auto"/>
          </w:tcPr>
          <w:p w14:paraId="7A6F7EF2" w14:textId="77777777" w:rsidR="002820CB" w:rsidRPr="007D4DDF" w:rsidRDefault="002820CB" w:rsidP="00777703">
            <w:pPr>
              <w:spacing w:before="0" w:after="120" w:line="240" w:lineRule="auto"/>
              <w:rPr>
                <w:color w:val="000000"/>
                <w:szCs w:val="24"/>
              </w:rPr>
            </w:pPr>
            <w:r w:rsidRPr="007D4DDF">
              <w:rPr>
                <w:color w:val="000000"/>
                <w:szCs w:val="24"/>
              </w:rPr>
              <w:t>10</w:t>
            </w:r>
          </w:p>
        </w:tc>
        <w:tc>
          <w:tcPr>
            <w:tcW w:w="1289" w:type="dxa"/>
            <w:shd w:val="clear" w:color="auto" w:fill="auto"/>
          </w:tcPr>
          <w:p w14:paraId="22660B51" w14:textId="77777777" w:rsidR="002820CB" w:rsidRPr="007D4DDF" w:rsidRDefault="002820CB" w:rsidP="00777703">
            <w:pPr>
              <w:spacing w:before="0" w:after="120" w:line="240" w:lineRule="auto"/>
              <w:rPr>
                <w:color w:val="000000"/>
                <w:szCs w:val="24"/>
              </w:rPr>
            </w:pPr>
            <w:r w:rsidRPr="007D4DDF">
              <w:rPr>
                <w:color w:val="000000"/>
                <w:szCs w:val="24"/>
              </w:rPr>
              <w:t>30</w:t>
            </w:r>
          </w:p>
        </w:tc>
        <w:tc>
          <w:tcPr>
            <w:tcW w:w="1651" w:type="dxa"/>
            <w:shd w:val="clear" w:color="auto" w:fill="auto"/>
          </w:tcPr>
          <w:p w14:paraId="3FCCF094" w14:textId="77777777" w:rsidR="002820CB" w:rsidRPr="007D4DDF" w:rsidRDefault="002820CB" w:rsidP="00777703">
            <w:pPr>
              <w:spacing w:before="0" w:after="120" w:line="240" w:lineRule="auto"/>
              <w:rPr>
                <w:color w:val="000000"/>
                <w:szCs w:val="24"/>
              </w:rPr>
            </w:pPr>
          </w:p>
        </w:tc>
      </w:tr>
      <w:tr w:rsidR="002820CB" w:rsidRPr="007D4DDF" w14:paraId="200C7AFB" w14:textId="77777777" w:rsidTr="00F83C0F">
        <w:tc>
          <w:tcPr>
            <w:tcW w:w="2201" w:type="dxa"/>
            <w:shd w:val="clear" w:color="auto" w:fill="auto"/>
          </w:tcPr>
          <w:p w14:paraId="1BD84B53" w14:textId="77777777" w:rsidR="002820CB" w:rsidRPr="007D4DDF" w:rsidRDefault="002820CB" w:rsidP="00395E14">
            <w:pPr>
              <w:spacing w:before="0" w:after="120" w:line="240" w:lineRule="auto"/>
              <w:rPr>
                <w:color w:val="000000"/>
                <w:szCs w:val="24"/>
              </w:rPr>
            </w:pPr>
            <w:r w:rsidRPr="007D4DDF">
              <w:rPr>
                <w:color w:val="000000"/>
                <w:szCs w:val="24"/>
              </w:rPr>
              <w:t>United Kingdom</w:t>
            </w:r>
          </w:p>
        </w:tc>
        <w:tc>
          <w:tcPr>
            <w:tcW w:w="1527" w:type="dxa"/>
            <w:shd w:val="clear" w:color="auto" w:fill="auto"/>
          </w:tcPr>
          <w:p w14:paraId="53CE694C" w14:textId="77777777" w:rsidR="002820CB" w:rsidRPr="007D4DDF" w:rsidRDefault="002820CB" w:rsidP="00777703">
            <w:pPr>
              <w:spacing w:before="0" w:after="120" w:line="240" w:lineRule="auto"/>
              <w:rPr>
                <w:color w:val="000000"/>
                <w:szCs w:val="24"/>
              </w:rPr>
            </w:pPr>
            <w:r w:rsidRPr="007D4DDF">
              <w:rPr>
                <w:color w:val="000000"/>
                <w:szCs w:val="24"/>
              </w:rPr>
              <w:t>63.1</w:t>
            </w:r>
          </w:p>
        </w:tc>
        <w:tc>
          <w:tcPr>
            <w:tcW w:w="1514" w:type="dxa"/>
            <w:shd w:val="clear" w:color="auto" w:fill="auto"/>
          </w:tcPr>
          <w:p w14:paraId="30AA60A7" w14:textId="77777777" w:rsidR="002820CB" w:rsidRPr="007D4DDF" w:rsidRDefault="002820CB" w:rsidP="00777703">
            <w:pPr>
              <w:spacing w:before="0" w:after="120" w:line="240" w:lineRule="auto"/>
              <w:rPr>
                <w:color w:val="000000"/>
                <w:szCs w:val="24"/>
              </w:rPr>
            </w:pPr>
            <w:r w:rsidRPr="007D4DDF">
              <w:rPr>
                <w:color w:val="000000"/>
                <w:szCs w:val="24"/>
              </w:rPr>
              <w:t>19</w:t>
            </w:r>
          </w:p>
        </w:tc>
        <w:tc>
          <w:tcPr>
            <w:tcW w:w="1289" w:type="dxa"/>
            <w:shd w:val="clear" w:color="auto" w:fill="auto"/>
          </w:tcPr>
          <w:p w14:paraId="134AAA8E" w14:textId="77777777" w:rsidR="002820CB" w:rsidRPr="007D4DDF" w:rsidRDefault="002820CB" w:rsidP="00777703">
            <w:pPr>
              <w:spacing w:before="0" w:after="120" w:line="240" w:lineRule="auto"/>
              <w:rPr>
                <w:color w:val="000000"/>
                <w:szCs w:val="24"/>
              </w:rPr>
            </w:pPr>
            <w:r w:rsidRPr="007D4DDF">
              <w:rPr>
                <w:color w:val="000000"/>
                <w:szCs w:val="24"/>
              </w:rPr>
              <w:t>17.6</w:t>
            </w:r>
          </w:p>
        </w:tc>
        <w:tc>
          <w:tcPr>
            <w:tcW w:w="1651" w:type="dxa"/>
            <w:shd w:val="clear" w:color="auto" w:fill="auto"/>
          </w:tcPr>
          <w:p w14:paraId="327DD2CB" w14:textId="77777777" w:rsidR="002820CB" w:rsidRPr="007D4DDF" w:rsidRDefault="002820CB" w:rsidP="00777703">
            <w:pPr>
              <w:spacing w:before="0" w:after="120" w:line="240" w:lineRule="auto"/>
              <w:rPr>
                <w:color w:val="000000"/>
                <w:szCs w:val="24"/>
              </w:rPr>
            </w:pPr>
          </w:p>
        </w:tc>
      </w:tr>
    </w:tbl>
    <w:p w14:paraId="19D6C2BB" w14:textId="77777777" w:rsidR="00D872DB" w:rsidRPr="007D4DDF" w:rsidRDefault="00D872DB" w:rsidP="00395E14">
      <w:pPr>
        <w:spacing w:before="0" w:after="120" w:line="240" w:lineRule="auto"/>
        <w:rPr>
          <w:szCs w:val="24"/>
        </w:rPr>
      </w:pPr>
    </w:p>
    <w:p w14:paraId="5EF947B7" w14:textId="77777777" w:rsidR="00A30391" w:rsidRPr="007D4DDF" w:rsidRDefault="002820CB" w:rsidP="00777703">
      <w:pPr>
        <w:spacing w:before="0" w:after="120" w:line="240" w:lineRule="auto"/>
        <w:rPr>
          <w:szCs w:val="24"/>
        </w:rPr>
      </w:pPr>
      <w:r w:rsidRPr="007D4DDF">
        <w:rPr>
          <w:szCs w:val="24"/>
        </w:rPr>
        <w:t xml:space="preserve">In Germany, </w:t>
      </w:r>
      <w:r w:rsidRPr="007D4DDF">
        <w:rPr>
          <w:color w:val="212121"/>
          <w:szCs w:val="24"/>
        </w:rPr>
        <w:t>legislative competences and government responsibilities for housing policies have been transferred from the federation to the regional states (</w:t>
      </w:r>
      <w:proofErr w:type="spellStart"/>
      <w:r w:rsidRPr="007D4DDF">
        <w:rPr>
          <w:i/>
          <w:color w:val="212121"/>
          <w:szCs w:val="24"/>
        </w:rPr>
        <w:t>Bundesländer</w:t>
      </w:r>
      <w:proofErr w:type="spellEnd"/>
      <w:r w:rsidRPr="007D4DDF">
        <w:rPr>
          <w:color w:val="212121"/>
          <w:szCs w:val="24"/>
        </w:rPr>
        <w:t>). However, legislation regulating housing subsidies (</w:t>
      </w:r>
      <w:proofErr w:type="spellStart"/>
      <w:r w:rsidRPr="007D4DDF">
        <w:rPr>
          <w:i/>
          <w:color w:val="212121"/>
          <w:szCs w:val="24"/>
        </w:rPr>
        <w:t>Wohnraumförderungsgesetz</w:t>
      </w:r>
      <w:proofErr w:type="spellEnd"/>
      <w:r w:rsidR="0005045C" w:rsidRPr="007D4DDF">
        <w:rPr>
          <w:color w:val="212121"/>
          <w:szCs w:val="24"/>
        </w:rPr>
        <w:t xml:space="preserve"> – </w:t>
      </w:r>
      <w:proofErr w:type="spellStart"/>
      <w:r w:rsidRPr="007D4DDF">
        <w:rPr>
          <w:color w:val="212121"/>
          <w:szCs w:val="24"/>
        </w:rPr>
        <w:t>WoFG</w:t>
      </w:r>
      <w:proofErr w:type="spellEnd"/>
      <w:r w:rsidRPr="007D4DDF">
        <w:rPr>
          <w:color w:val="212121"/>
          <w:szCs w:val="24"/>
        </w:rPr>
        <w:t>), the control of rents in the private rented sector</w:t>
      </w:r>
      <w:r w:rsidR="00810A0C" w:rsidRPr="007D4DDF">
        <w:rPr>
          <w:color w:val="212121"/>
          <w:szCs w:val="24"/>
        </w:rPr>
        <w:t>,</w:t>
      </w:r>
      <w:r w:rsidRPr="007D4DDF">
        <w:rPr>
          <w:color w:val="212121"/>
          <w:szCs w:val="24"/>
        </w:rPr>
        <w:t xml:space="preserve"> and tenancy protection </w:t>
      </w:r>
      <w:r w:rsidR="00810A0C" w:rsidRPr="007D4DDF">
        <w:rPr>
          <w:color w:val="212121"/>
          <w:szCs w:val="24"/>
        </w:rPr>
        <w:t>(</w:t>
      </w:r>
      <w:r w:rsidR="00B31192" w:rsidRPr="007D4DDF">
        <w:rPr>
          <w:color w:val="212121"/>
          <w:szCs w:val="24"/>
        </w:rPr>
        <w:t xml:space="preserve">all </w:t>
      </w:r>
      <w:r w:rsidRPr="007D4DDF">
        <w:rPr>
          <w:color w:val="212121"/>
          <w:szCs w:val="24"/>
        </w:rPr>
        <w:t>of which are regulated in the Civil Code (</w:t>
      </w:r>
      <w:proofErr w:type="spellStart"/>
      <w:r w:rsidRPr="007D4DDF">
        <w:rPr>
          <w:i/>
          <w:color w:val="212121"/>
          <w:szCs w:val="24"/>
        </w:rPr>
        <w:t>Bürgerliches</w:t>
      </w:r>
      <w:proofErr w:type="spellEnd"/>
      <w:r w:rsidRPr="007D4DDF">
        <w:rPr>
          <w:i/>
          <w:color w:val="212121"/>
          <w:szCs w:val="24"/>
        </w:rPr>
        <w:t xml:space="preserve"> </w:t>
      </w:r>
      <w:proofErr w:type="spellStart"/>
      <w:r w:rsidRPr="007D4DDF">
        <w:rPr>
          <w:i/>
          <w:color w:val="212121"/>
          <w:szCs w:val="24"/>
        </w:rPr>
        <w:t>Gesetzbuch</w:t>
      </w:r>
      <w:proofErr w:type="spellEnd"/>
      <w:r w:rsidR="0005045C" w:rsidRPr="007D4DDF">
        <w:rPr>
          <w:color w:val="212121"/>
          <w:szCs w:val="24"/>
        </w:rPr>
        <w:t xml:space="preserve"> – </w:t>
      </w:r>
      <w:r w:rsidRPr="007D4DDF">
        <w:rPr>
          <w:color w:val="212121"/>
          <w:szCs w:val="24"/>
        </w:rPr>
        <w:t>BGB</w:t>
      </w:r>
      <w:r w:rsidR="00810A0C" w:rsidRPr="007D4DDF">
        <w:rPr>
          <w:color w:val="212121"/>
          <w:szCs w:val="24"/>
        </w:rPr>
        <w:t>)</w:t>
      </w:r>
      <w:r w:rsidRPr="007D4DDF">
        <w:rPr>
          <w:color w:val="212121"/>
          <w:szCs w:val="24"/>
        </w:rPr>
        <w:t xml:space="preserve"> remains at the national level. </w:t>
      </w:r>
      <w:r w:rsidR="00EA4C34" w:rsidRPr="007D4DDF">
        <w:rPr>
          <w:color w:val="212121"/>
          <w:szCs w:val="24"/>
        </w:rPr>
        <w:t>T</w:t>
      </w:r>
      <w:r w:rsidRPr="007D4DDF">
        <w:rPr>
          <w:szCs w:val="24"/>
        </w:rPr>
        <w:t>here is a good level of protection against eviction, which includes reporting obligations on courts, support with rent and arrears, curial discretion to suspend evictions and obligations on authorities to provide shelter for those who are involuntarily homeless. In Hungary, some 90 per cent</w:t>
      </w:r>
      <w:r w:rsidR="00A30391" w:rsidRPr="007D4DDF">
        <w:rPr>
          <w:szCs w:val="24"/>
        </w:rPr>
        <w:t xml:space="preserve"> </w:t>
      </w:r>
      <w:r w:rsidRPr="007D4DDF">
        <w:rPr>
          <w:szCs w:val="24"/>
        </w:rPr>
        <w:t>of dwellings are in private ownership (20 per cent</w:t>
      </w:r>
      <w:r w:rsidR="00A30391" w:rsidRPr="007D4DDF">
        <w:rPr>
          <w:szCs w:val="24"/>
        </w:rPr>
        <w:t xml:space="preserve"> </w:t>
      </w:r>
      <w:r w:rsidRPr="007D4DDF">
        <w:rPr>
          <w:szCs w:val="24"/>
        </w:rPr>
        <w:t xml:space="preserve">with a mortgage), with </w:t>
      </w:r>
      <w:r w:rsidR="00A30391" w:rsidRPr="007D4DDF">
        <w:rPr>
          <w:szCs w:val="24"/>
        </w:rPr>
        <w:t>3–4</w:t>
      </w:r>
      <w:r w:rsidRPr="007D4DDF">
        <w:rPr>
          <w:szCs w:val="24"/>
        </w:rPr>
        <w:t xml:space="preserve"> per cent</w:t>
      </w:r>
      <w:r w:rsidR="00A30391" w:rsidRPr="007D4DDF">
        <w:rPr>
          <w:szCs w:val="24"/>
        </w:rPr>
        <w:t xml:space="preserve"> </w:t>
      </w:r>
      <w:r w:rsidRPr="007D4DDF">
        <w:rPr>
          <w:szCs w:val="24"/>
        </w:rPr>
        <w:t xml:space="preserve">social rentals. The housing allowance scheme (devolved to local </w:t>
      </w:r>
      <w:r w:rsidR="00AE1E57" w:rsidRPr="007D4DDF">
        <w:rPr>
          <w:szCs w:val="24"/>
        </w:rPr>
        <w:t xml:space="preserve">government </w:t>
      </w:r>
      <w:r w:rsidRPr="007D4DDF">
        <w:rPr>
          <w:szCs w:val="24"/>
        </w:rPr>
        <w:t>in 2015) covers 500</w:t>
      </w:r>
      <w:r w:rsidR="00D872DB" w:rsidRPr="007D4DDF">
        <w:rPr>
          <w:szCs w:val="24"/>
        </w:rPr>
        <w:t xml:space="preserve"> </w:t>
      </w:r>
      <w:r w:rsidRPr="007D4DDF">
        <w:rPr>
          <w:szCs w:val="24"/>
        </w:rPr>
        <w:t>000 households or 3.8 million people and 1</w:t>
      </w:r>
      <w:r w:rsidR="00A30391" w:rsidRPr="007D4DDF">
        <w:rPr>
          <w:szCs w:val="24"/>
        </w:rPr>
        <w:t>0–1</w:t>
      </w:r>
      <w:r w:rsidRPr="007D4DDF">
        <w:rPr>
          <w:szCs w:val="24"/>
        </w:rPr>
        <w:t xml:space="preserve">5 per cent of normative housing costs. Although some municipalities run local arrears management schemes, these are ineffective as most private sector tenancies are now unofficial. </w:t>
      </w:r>
      <w:r w:rsidR="0005045C" w:rsidRPr="007D4DDF">
        <w:rPr>
          <w:szCs w:val="24"/>
        </w:rPr>
        <w:t>N</w:t>
      </w:r>
      <w:r w:rsidR="006D4005" w:rsidRPr="007D4DDF">
        <w:rPr>
          <w:szCs w:val="24"/>
        </w:rPr>
        <w:t xml:space="preserve">on-governmental </w:t>
      </w:r>
      <w:r w:rsidR="007D4DDF" w:rsidRPr="007D4DDF">
        <w:rPr>
          <w:szCs w:val="24"/>
        </w:rPr>
        <w:t>organi</w:t>
      </w:r>
      <w:r w:rsidR="007D4DDF">
        <w:rPr>
          <w:szCs w:val="24"/>
        </w:rPr>
        <w:t>z</w:t>
      </w:r>
      <w:r w:rsidR="007D4DDF" w:rsidRPr="007D4DDF">
        <w:rPr>
          <w:szCs w:val="24"/>
        </w:rPr>
        <w:t xml:space="preserve">ations </w:t>
      </w:r>
      <w:r w:rsidR="006D4005" w:rsidRPr="007D4DDF">
        <w:rPr>
          <w:szCs w:val="24"/>
        </w:rPr>
        <w:t>(</w:t>
      </w:r>
      <w:r w:rsidRPr="007D4DDF">
        <w:rPr>
          <w:szCs w:val="24"/>
        </w:rPr>
        <w:t>NGOs</w:t>
      </w:r>
      <w:r w:rsidR="006D4005" w:rsidRPr="007D4DDF">
        <w:rPr>
          <w:szCs w:val="24"/>
        </w:rPr>
        <w:t>)</w:t>
      </w:r>
      <w:r w:rsidRPr="007D4DDF">
        <w:rPr>
          <w:szCs w:val="24"/>
        </w:rPr>
        <w:t xml:space="preserve"> operate tenancy support and </w:t>
      </w:r>
      <w:r w:rsidR="00B31192" w:rsidRPr="007D4DDF">
        <w:rPr>
          <w:szCs w:val="24"/>
        </w:rPr>
        <w:t>eviction-</w:t>
      </w:r>
      <w:r w:rsidRPr="007D4DDF">
        <w:rPr>
          <w:szCs w:val="24"/>
        </w:rPr>
        <w:t>prevention schemes.</w:t>
      </w:r>
    </w:p>
    <w:p w14:paraId="1C4111C6" w14:textId="77777777" w:rsidR="002820CB" w:rsidRPr="007D4DDF" w:rsidRDefault="002820CB" w:rsidP="00777703">
      <w:pPr>
        <w:spacing w:before="0" w:after="120" w:line="240" w:lineRule="auto"/>
        <w:rPr>
          <w:szCs w:val="24"/>
        </w:rPr>
      </w:pPr>
      <w:r w:rsidRPr="007D4DDF">
        <w:rPr>
          <w:szCs w:val="24"/>
        </w:rPr>
        <w:t>In Ireland, evictions are a socially and politically charged issue</w:t>
      </w:r>
      <w:r w:rsidR="00A13713" w:rsidRPr="007D4DDF">
        <w:rPr>
          <w:szCs w:val="24"/>
        </w:rPr>
        <w:t>,</w:t>
      </w:r>
      <w:r w:rsidRPr="007D4DDF">
        <w:rPr>
          <w:szCs w:val="24"/>
        </w:rPr>
        <w:t xml:space="preserve"> and politicians of all parties denounce such actions. Yet, as Padraic Kenna suggests, evictions are quite common, largely in the private rented sector, but also due to mortgage arrears arising </w:t>
      </w:r>
      <w:r w:rsidRPr="007D4DDF">
        <w:rPr>
          <w:szCs w:val="24"/>
        </w:rPr>
        <w:lastRenderedPageBreak/>
        <w:t xml:space="preserve">from the credit boom up to 2007. Following the banking collapse of 2008, the subsequent economic recession led to </w:t>
      </w:r>
      <w:r w:rsidR="00A13713" w:rsidRPr="007D4DDF">
        <w:rPr>
          <w:szCs w:val="24"/>
        </w:rPr>
        <w:t xml:space="preserve">high unemployment and many </w:t>
      </w:r>
      <w:r w:rsidRPr="007D4DDF">
        <w:rPr>
          <w:szCs w:val="24"/>
        </w:rPr>
        <w:t xml:space="preserve">mortgages </w:t>
      </w:r>
      <w:r w:rsidR="00A13713" w:rsidRPr="007D4DDF">
        <w:rPr>
          <w:szCs w:val="24"/>
        </w:rPr>
        <w:t xml:space="preserve">becoming unsustainable, particularly where reckless lending had taken place. </w:t>
      </w:r>
      <w:r w:rsidRPr="007D4DDF">
        <w:rPr>
          <w:szCs w:val="24"/>
        </w:rPr>
        <w:t xml:space="preserve">General housing policy related to evictions involves significant support </w:t>
      </w:r>
      <w:r w:rsidR="00D90EA0" w:rsidRPr="007D4DDF">
        <w:rPr>
          <w:szCs w:val="24"/>
        </w:rPr>
        <w:t xml:space="preserve">to help with </w:t>
      </w:r>
      <w:r w:rsidRPr="007D4DDF">
        <w:rPr>
          <w:szCs w:val="24"/>
        </w:rPr>
        <w:t>unaffordable rents, social supports, and extensive homelessness supports delivered through non-</w:t>
      </w:r>
      <w:r w:rsidR="0000263C" w:rsidRPr="007D4DDF">
        <w:rPr>
          <w:szCs w:val="24"/>
        </w:rPr>
        <w:t>state</w:t>
      </w:r>
      <w:r w:rsidRPr="007D4DDF">
        <w:rPr>
          <w:szCs w:val="24"/>
        </w:rPr>
        <w:t xml:space="preserve"> bodies. There have been a number of codes for lenders and a major revision of </w:t>
      </w:r>
      <w:r w:rsidR="00D238C3">
        <w:rPr>
          <w:szCs w:val="24"/>
        </w:rPr>
        <w:t xml:space="preserve">Irish </w:t>
      </w:r>
      <w:r w:rsidRPr="007D4DDF">
        <w:rPr>
          <w:szCs w:val="24"/>
        </w:rPr>
        <w:t xml:space="preserve">personal bankruptcy/insolvency legislation. This enables households to achieve a fresh start after one year of personal bankruptcy, or </w:t>
      </w:r>
      <w:r w:rsidR="00B31192" w:rsidRPr="007D4DDF">
        <w:rPr>
          <w:szCs w:val="24"/>
        </w:rPr>
        <w:t xml:space="preserve">six </w:t>
      </w:r>
      <w:r w:rsidRPr="007D4DDF">
        <w:rPr>
          <w:szCs w:val="24"/>
        </w:rPr>
        <w:t>years of an insolvency arrangement.</w:t>
      </w:r>
    </w:p>
    <w:p w14:paraId="075387B0" w14:textId="77777777" w:rsidR="00A30391" w:rsidRPr="007D4DDF" w:rsidRDefault="008A364B" w:rsidP="00777703">
      <w:pPr>
        <w:spacing w:before="0" w:after="120" w:line="240" w:lineRule="auto"/>
        <w:rPr>
          <w:szCs w:val="24"/>
        </w:rPr>
      </w:pPr>
      <w:r w:rsidRPr="007D4DDF">
        <w:rPr>
          <w:szCs w:val="24"/>
        </w:rPr>
        <w:t xml:space="preserve">The Polish </w:t>
      </w:r>
      <w:r w:rsidR="002820CB" w:rsidRPr="007D4DDF">
        <w:rPr>
          <w:szCs w:val="24"/>
        </w:rPr>
        <w:t xml:space="preserve">Ministry of Infrastructure and Development has adopted new guidelines for national development of housing, although there are no specific policies on evictions. Witold </w:t>
      </w:r>
      <w:proofErr w:type="spellStart"/>
      <w:r w:rsidR="002820CB" w:rsidRPr="007D4DDF">
        <w:rPr>
          <w:szCs w:val="24"/>
        </w:rPr>
        <w:t>Borysiak</w:t>
      </w:r>
      <w:proofErr w:type="spellEnd"/>
      <w:r w:rsidR="002820CB" w:rsidRPr="007D4DDF">
        <w:rPr>
          <w:szCs w:val="24"/>
        </w:rPr>
        <w:t xml:space="preserve"> points out that local governments or municipalities are obliged by law to provide shelter, meals and essential clothing for those who are evicted. </w:t>
      </w:r>
      <w:r w:rsidR="00D238C3">
        <w:rPr>
          <w:szCs w:val="24"/>
        </w:rPr>
        <w:t xml:space="preserve">In </w:t>
      </w:r>
      <w:r w:rsidR="002820CB" w:rsidRPr="007D4DDF">
        <w:rPr>
          <w:szCs w:val="24"/>
        </w:rPr>
        <w:t xml:space="preserve">Slovenia, </w:t>
      </w:r>
      <w:proofErr w:type="spellStart"/>
      <w:r w:rsidR="002820CB" w:rsidRPr="007D4DDF">
        <w:rPr>
          <w:szCs w:val="24"/>
        </w:rPr>
        <w:t>Maša</w:t>
      </w:r>
      <w:proofErr w:type="spellEnd"/>
      <w:r w:rsidR="002820CB" w:rsidRPr="007D4DDF">
        <w:rPr>
          <w:szCs w:val="24"/>
        </w:rPr>
        <w:t xml:space="preserve"> </w:t>
      </w:r>
      <w:proofErr w:type="spellStart"/>
      <w:r w:rsidR="002820CB" w:rsidRPr="007D4DDF">
        <w:rPr>
          <w:szCs w:val="24"/>
        </w:rPr>
        <w:t>Filipovič</w:t>
      </w:r>
      <w:proofErr w:type="spellEnd"/>
      <w:r w:rsidR="002820CB" w:rsidRPr="007D4DDF">
        <w:rPr>
          <w:szCs w:val="24"/>
        </w:rPr>
        <w:t xml:space="preserve"> </w:t>
      </w:r>
      <w:proofErr w:type="spellStart"/>
      <w:r w:rsidR="002820CB" w:rsidRPr="007D4DDF">
        <w:rPr>
          <w:szCs w:val="24"/>
        </w:rPr>
        <w:t>Hrast</w:t>
      </w:r>
      <w:proofErr w:type="spellEnd"/>
      <w:r w:rsidR="002820CB" w:rsidRPr="007D4DDF">
        <w:rPr>
          <w:szCs w:val="24"/>
        </w:rPr>
        <w:t xml:space="preserve"> </w:t>
      </w:r>
      <w:r w:rsidR="00B31192" w:rsidRPr="007D4DDF">
        <w:rPr>
          <w:szCs w:val="24"/>
        </w:rPr>
        <w:t>discusses how</w:t>
      </w:r>
      <w:r w:rsidR="002820CB" w:rsidRPr="007D4DDF">
        <w:rPr>
          <w:szCs w:val="24"/>
        </w:rPr>
        <w:t xml:space="preserve"> debt levels are low, despite a high level of home ownership. The new </w:t>
      </w:r>
      <w:r w:rsidR="00963821" w:rsidRPr="007D4DDF">
        <w:rPr>
          <w:szCs w:val="24"/>
        </w:rPr>
        <w:t>‘R</w:t>
      </w:r>
      <w:r w:rsidR="002820CB" w:rsidRPr="007D4DDF">
        <w:rPr>
          <w:szCs w:val="24"/>
        </w:rPr>
        <w:t xml:space="preserve">esolution on </w:t>
      </w:r>
      <w:r w:rsidR="00963821" w:rsidRPr="007D4DDF">
        <w:rPr>
          <w:szCs w:val="24"/>
        </w:rPr>
        <w:t>H</w:t>
      </w:r>
      <w:r w:rsidR="002820CB" w:rsidRPr="007D4DDF">
        <w:rPr>
          <w:szCs w:val="24"/>
        </w:rPr>
        <w:t xml:space="preserve">ousing </w:t>
      </w:r>
      <w:r w:rsidR="00963821" w:rsidRPr="007D4DDF">
        <w:rPr>
          <w:szCs w:val="24"/>
        </w:rPr>
        <w:t>P</w:t>
      </w:r>
      <w:r w:rsidR="002820CB" w:rsidRPr="007D4DDF">
        <w:rPr>
          <w:szCs w:val="24"/>
        </w:rPr>
        <w:t>olicy 2015–2025</w:t>
      </w:r>
      <w:r w:rsidR="00963821" w:rsidRPr="007D4DDF">
        <w:rPr>
          <w:szCs w:val="24"/>
        </w:rPr>
        <w:t>’,</w:t>
      </w:r>
      <w:r w:rsidR="002820CB" w:rsidRPr="007D4DDF">
        <w:rPr>
          <w:szCs w:val="24"/>
        </w:rPr>
        <w:t xml:space="preserve"> includes increasing security of tenure and reducing illegal renting</w:t>
      </w:r>
      <w:r w:rsidRPr="007D4DDF">
        <w:rPr>
          <w:szCs w:val="24"/>
        </w:rPr>
        <w:t xml:space="preserve">, but </w:t>
      </w:r>
      <w:r w:rsidR="002820CB" w:rsidRPr="007D4DDF">
        <w:rPr>
          <w:szCs w:val="24"/>
        </w:rPr>
        <w:t xml:space="preserve">also </w:t>
      </w:r>
      <w:r w:rsidR="00963821" w:rsidRPr="007D4DDF">
        <w:rPr>
          <w:szCs w:val="24"/>
        </w:rPr>
        <w:t xml:space="preserve">contains </w:t>
      </w:r>
      <w:r w:rsidR="002820CB" w:rsidRPr="007D4DDF">
        <w:rPr>
          <w:szCs w:val="24"/>
        </w:rPr>
        <w:t>measures which would enable quicker/swifter evictions.</w:t>
      </w:r>
    </w:p>
    <w:p w14:paraId="2A892B9A" w14:textId="77777777" w:rsidR="00A30391" w:rsidRPr="007D4DDF" w:rsidRDefault="002820CB" w:rsidP="00777703">
      <w:pPr>
        <w:spacing w:before="0" w:after="120" w:line="240" w:lineRule="auto"/>
        <w:rPr>
          <w:szCs w:val="24"/>
        </w:rPr>
      </w:pPr>
      <w:r w:rsidRPr="007D4DDF">
        <w:rPr>
          <w:szCs w:val="24"/>
        </w:rPr>
        <w:t>Spain has been among the countries</w:t>
      </w:r>
      <w:r w:rsidR="00B31192" w:rsidRPr="007D4DDF">
        <w:rPr>
          <w:szCs w:val="24"/>
        </w:rPr>
        <w:t xml:space="preserve"> </w:t>
      </w:r>
      <w:r w:rsidRPr="007D4DDF">
        <w:rPr>
          <w:szCs w:val="24"/>
        </w:rPr>
        <w:t>worst affected by the banking crisis, with reports of some 210</w:t>
      </w:r>
      <w:r w:rsidR="00963821" w:rsidRPr="007D4DDF">
        <w:rPr>
          <w:szCs w:val="24"/>
        </w:rPr>
        <w:t xml:space="preserve"> </w:t>
      </w:r>
      <w:r w:rsidRPr="007D4DDF">
        <w:rPr>
          <w:szCs w:val="24"/>
        </w:rPr>
        <w:t xml:space="preserve">000 </w:t>
      </w:r>
      <w:r w:rsidR="00C34CEE">
        <w:rPr>
          <w:szCs w:val="24"/>
        </w:rPr>
        <w:t xml:space="preserve">mortgage related </w:t>
      </w:r>
      <w:r w:rsidRPr="007D4DDF">
        <w:rPr>
          <w:szCs w:val="24"/>
        </w:rPr>
        <w:t>evictions between 2010 and 2015. In the rented sector, there were some 206</w:t>
      </w:r>
      <w:r w:rsidR="00963821" w:rsidRPr="007D4DDF">
        <w:rPr>
          <w:szCs w:val="24"/>
        </w:rPr>
        <w:t xml:space="preserve"> </w:t>
      </w:r>
      <w:r w:rsidRPr="007D4DDF">
        <w:rPr>
          <w:szCs w:val="24"/>
        </w:rPr>
        <w:t>000 evictions in the period. Despite the large numbers of households evicted, only a small number become homeless</w:t>
      </w:r>
      <w:r w:rsidR="008A364B" w:rsidRPr="007D4DDF">
        <w:rPr>
          <w:szCs w:val="24"/>
        </w:rPr>
        <w:t>. R</w:t>
      </w:r>
      <w:r w:rsidRPr="007D4DDF">
        <w:rPr>
          <w:szCs w:val="24"/>
        </w:rPr>
        <w:t xml:space="preserve">eliance on family supports and accommodation in such cases of emergency is a significant feature of the response of Spanish society. Various enactments by the Spanish government and the </w:t>
      </w:r>
      <w:r w:rsidR="006771D4" w:rsidRPr="007D4DDF">
        <w:rPr>
          <w:szCs w:val="24"/>
        </w:rPr>
        <w:t>A</w:t>
      </w:r>
      <w:r w:rsidRPr="007D4DDF">
        <w:rPr>
          <w:szCs w:val="24"/>
        </w:rPr>
        <w:t xml:space="preserve">utonomous </w:t>
      </w:r>
      <w:r w:rsidR="006771D4" w:rsidRPr="007D4DDF">
        <w:rPr>
          <w:szCs w:val="24"/>
        </w:rPr>
        <w:t>R</w:t>
      </w:r>
      <w:r w:rsidRPr="007D4DDF">
        <w:rPr>
          <w:szCs w:val="24"/>
        </w:rPr>
        <w:t xml:space="preserve">egions have sought to address the levels of repossession, often in response to findings of the Spanish Supreme Court or the Court of Justice of the European Union (CJEU). However, as Sergio </w:t>
      </w:r>
      <w:proofErr w:type="spellStart"/>
      <w:r w:rsidRPr="007D4DDF">
        <w:rPr>
          <w:szCs w:val="24"/>
        </w:rPr>
        <w:t>Nasarre</w:t>
      </w:r>
      <w:proofErr w:type="spellEnd"/>
      <w:r w:rsidRPr="007D4DDF">
        <w:rPr>
          <w:szCs w:val="24"/>
        </w:rPr>
        <w:t>-Aznar and Rosa Maria Garcia</w:t>
      </w:r>
      <w:r w:rsidR="00112951" w:rsidRPr="007D4DDF">
        <w:rPr>
          <w:szCs w:val="24"/>
        </w:rPr>
        <w:t xml:space="preserve"> </w:t>
      </w:r>
      <w:proofErr w:type="spellStart"/>
      <w:r w:rsidRPr="007D4DDF">
        <w:rPr>
          <w:szCs w:val="24"/>
        </w:rPr>
        <w:t>Teruel</w:t>
      </w:r>
      <w:proofErr w:type="spellEnd"/>
      <w:r w:rsidRPr="007D4DDF">
        <w:rPr>
          <w:szCs w:val="24"/>
        </w:rPr>
        <w:t xml:space="preserve"> point out, there is a lack of rented housing, or intermediate tenures, and reliance on mortgages to access homes remains </w:t>
      </w:r>
      <w:r w:rsidR="008A364B" w:rsidRPr="007D4DDF">
        <w:rPr>
          <w:szCs w:val="24"/>
        </w:rPr>
        <w:t xml:space="preserve">a </w:t>
      </w:r>
      <w:r w:rsidR="00A30391" w:rsidRPr="007D4DDF">
        <w:rPr>
          <w:szCs w:val="24"/>
        </w:rPr>
        <w:t>significant</w:t>
      </w:r>
      <w:r w:rsidR="008A364B" w:rsidRPr="007D4DDF">
        <w:rPr>
          <w:szCs w:val="24"/>
        </w:rPr>
        <w:t xml:space="preserve"> element of housing policy.</w:t>
      </w:r>
    </w:p>
    <w:p w14:paraId="6B5A836A" w14:textId="0770A319" w:rsidR="00963821" w:rsidRDefault="002820CB" w:rsidP="00777703">
      <w:pPr>
        <w:spacing w:before="0" w:after="120" w:line="240" w:lineRule="auto"/>
        <w:rPr>
          <w:szCs w:val="24"/>
        </w:rPr>
      </w:pPr>
      <w:r w:rsidRPr="007D4DDF">
        <w:rPr>
          <w:szCs w:val="24"/>
        </w:rPr>
        <w:t xml:space="preserve">Government policy in the Netherlands supports home ownership, although </w:t>
      </w:r>
      <w:r w:rsidR="00C34CEE">
        <w:rPr>
          <w:szCs w:val="24"/>
        </w:rPr>
        <w:t xml:space="preserve">levels of </w:t>
      </w:r>
      <w:r w:rsidRPr="007D4DDF">
        <w:rPr>
          <w:szCs w:val="24"/>
        </w:rPr>
        <w:t xml:space="preserve">social rented housing </w:t>
      </w:r>
      <w:r w:rsidR="00C34CEE">
        <w:rPr>
          <w:szCs w:val="24"/>
        </w:rPr>
        <w:t xml:space="preserve">are </w:t>
      </w:r>
      <w:r w:rsidRPr="007D4DDF">
        <w:rPr>
          <w:szCs w:val="24"/>
        </w:rPr>
        <w:t>comparatively high, amounting to some 30 per cent of housing stock. One significant feature of the Dutch mortgage system is the National Mortgage Guarantee Scheme (NMGS), which</w:t>
      </w:r>
      <w:r w:rsidR="008A364B" w:rsidRPr="007D4DDF">
        <w:rPr>
          <w:szCs w:val="24"/>
        </w:rPr>
        <w:t>,</w:t>
      </w:r>
      <w:r w:rsidRPr="007D4DDF">
        <w:rPr>
          <w:szCs w:val="24"/>
        </w:rPr>
        <w:t xml:space="preserve"> for a premium of 1 per cent of the mortgage, paid at the outset, guarantees to cover any shortfall in the event of default and sale of the mortgaged property. Michel Vols points out that in 2015</w:t>
      </w:r>
      <w:r w:rsidR="00963821" w:rsidRPr="007D4DDF">
        <w:rPr>
          <w:szCs w:val="24"/>
        </w:rPr>
        <w:t>,</w:t>
      </w:r>
      <w:r w:rsidRPr="007D4DDF">
        <w:rPr>
          <w:szCs w:val="24"/>
        </w:rPr>
        <w:t xml:space="preserve"> some 78 per cent of buyers availed of this surety. Another unique feature is that following EU decisions on State Aid, Dutch housing associations who provide social housing must rent the great majority of new tenancies to those on </w:t>
      </w:r>
      <w:r w:rsidR="00C34CEE">
        <w:rPr>
          <w:szCs w:val="24"/>
        </w:rPr>
        <w:t xml:space="preserve">annual </w:t>
      </w:r>
      <w:r w:rsidRPr="007D4DDF">
        <w:rPr>
          <w:szCs w:val="24"/>
        </w:rPr>
        <w:t>incomes below €36</w:t>
      </w:r>
      <w:r w:rsidR="00963821" w:rsidRPr="007D4DDF">
        <w:rPr>
          <w:szCs w:val="24"/>
        </w:rPr>
        <w:t xml:space="preserve"> </w:t>
      </w:r>
      <w:r w:rsidRPr="007D4DDF">
        <w:rPr>
          <w:szCs w:val="24"/>
        </w:rPr>
        <w:t>000</w:t>
      </w:r>
      <w:r w:rsidR="00A13713" w:rsidRPr="007D4DDF">
        <w:rPr>
          <w:szCs w:val="24"/>
        </w:rPr>
        <w:t>.</w:t>
      </w:r>
      <w:bookmarkStart w:id="8" w:name="_Toc508191196"/>
    </w:p>
    <w:p w14:paraId="00720C6D" w14:textId="77777777" w:rsidR="006E160F" w:rsidRPr="007D4DDF" w:rsidRDefault="006E160F" w:rsidP="00777703">
      <w:pPr>
        <w:spacing w:before="0" w:after="120" w:line="240" w:lineRule="auto"/>
      </w:pPr>
    </w:p>
    <w:p w14:paraId="0A707CDC" w14:textId="6A455EA0" w:rsidR="00456CFD" w:rsidRPr="007D4DDF" w:rsidRDefault="0011110F" w:rsidP="00777703">
      <w:pPr>
        <w:pStyle w:val="Heading2"/>
        <w:spacing w:before="0" w:after="120" w:line="240" w:lineRule="auto"/>
        <w:ind w:left="1134" w:hanging="1134"/>
        <w:rPr>
          <w:rFonts w:ascii="Times New Roman" w:hAnsi="Times New Roman"/>
        </w:rPr>
      </w:pPr>
      <w:r w:rsidRPr="007D4DDF">
        <w:rPr>
          <w:rFonts w:ascii="Times New Roman" w:hAnsi="Times New Roman"/>
        </w:rPr>
        <w:t>3.2</w:t>
      </w:r>
      <w:r w:rsidR="006E160F">
        <w:rPr>
          <w:rFonts w:ascii="Times New Roman" w:hAnsi="Times New Roman"/>
        </w:rPr>
        <w:t>.</w:t>
      </w:r>
      <w:r w:rsidR="00405BA8">
        <w:rPr>
          <w:rFonts w:ascii="Times New Roman" w:hAnsi="Times New Roman"/>
        </w:rPr>
        <w:t xml:space="preserve"> </w:t>
      </w:r>
      <w:r w:rsidR="00456CFD" w:rsidRPr="007D4DDF">
        <w:rPr>
          <w:rFonts w:ascii="Times New Roman" w:hAnsi="Times New Roman"/>
        </w:rPr>
        <w:t xml:space="preserve">Policy </w:t>
      </w:r>
      <w:r w:rsidR="004E6ECF" w:rsidRPr="007D4DDF">
        <w:rPr>
          <w:rFonts w:ascii="Times New Roman" w:hAnsi="Times New Roman"/>
        </w:rPr>
        <w:t>M</w:t>
      </w:r>
      <w:r w:rsidR="009354F0" w:rsidRPr="007D4DDF">
        <w:rPr>
          <w:rFonts w:ascii="Times New Roman" w:hAnsi="Times New Roman"/>
        </w:rPr>
        <w:t xml:space="preserve">easures </w:t>
      </w:r>
      <w:r w:rsidR="00691151" w:rsidRPr="007D4DDF">
        <w:rPr>
          <w:rFonts w:ascii="Times New Roman" w:hAnsi="Times New Roman"/>
        </w:rPr>
        <w:t xml:space="preserve">which </w:t>
      </w:r>
      <w:r w:rsidR="004E6ECF" w:rsidRPr="007D4DDF">
        <w:rPr>
          <w:rFonts w:ascii="Times New Roman" w:hAnsi="Times New Roman"/>
        </w:rPr>
        <w:t>P</w:t>
      </w:r>
      <w:r w:rsidR="00691151" w:rsidRPr="007D4DDF">
        <w:rPr>
          <w:rFonts w:ascii="Times New Roman" w:hAnsi="Times New Roman"/>
        </w:rPr>
        <w:t xml:space="preserve">revent </w:t>
      </w:r>
      <w:r w:rsidR="004E6ECF" w:rsidRPr="007D4DDF">
        <w:rPr>
          <w:rFonts w:ascii="Times New Roman" w:hAnsi="Times New Roman"/>
        </w:rPr>
        <w:t>E</w:t>
      </w:r>
      <w:r w:rsidR="00691151" w:rsidRPr="007D4DDF">
        <w:rPr>
          <w:rFonts w:ascii="Times New Roman" w:hAnsi="Times New Roman"/>
        </w:rPr>
        <w:t>victions</w:t>
      </w:r>
      <w:bookmarkEnd w:id="8"/>
    </w:p>
    <w:p w14:paraId="1872C76F" w14:textId="77777777" w:rsidR="00A30391" w:rsidRPr="007D4DDF" w:rsidRDefault="00456CFD" w:rsidP="00395E14">
      <w:pPr>
        <w:autoSpaceDE w:val="0"/>
        <w:autoSpaceDN w:val="0"/>
        <w:adjustRightInd w:val="0"/>
        <w:spacing w:before="0" w:after="120" w:line="240" w:lineRule="auto"/>
        <w:rPr>
          <w:color w:val="000000"/>
          <w:szCs w:val="24"/>
        </w:rPr>
      </w:pPr>
      <w:r w:rsidRPr="007D4DDF">
        <w:rPr>
          <w:color w:val="000000"/>
          <w:szCs w:val="24"/>
        </w:rPr>
        <w:t>The EU Pilot Project Report identified a range of primary, secondary and tertiary measures across EU Member States which prevent evictions or mitigate their impact. Primary prevention measures are macro-level measures related to increased housing supply and affordability.</w:t>
      </w:r>
      <w:r w:rsidRPr="007D4DDF">
        <w:rPr>
          <w:color w:val="000000"/>
          <w:szCs w:val="24"/>
          <w:lang w:eastAsia="ja-JP"/>
        </w:rPr>
        <w:t xml:space="preserve"> </w:t>
      </w:r>
      <w:r w:rsidRPr="007D4DDF">
        <w:rPr>
          <w:color w:val="000000"/>
          <w:szCs w:val="24"/>
        </w:rPr>
        <w:t xml:space="preserve">In some cases, the </w:t>
      </w:r>
      <w:r w:rsidR="0000263C" w:rsidRPr="007D4DDF">
        <w:rPr>
          <w:color w:val="000000"/>
          <w:szCs w:val="24"/>
        </w:rPr>
        <w:t>state</w:t>
      </w:r>
      <w:r w:rsidRPr="007D4DDF">
        <w:rPr>
          <w:color w:val="000000"/>
          <w:szCs w:val="24"/>
        </w:rPr>
        <w:t xml:space="preserve"> takes on a direct provision or appropriation role, or sponsors NGOs or housing </w:t>
      </w:r>
      <w:r w:rsidR="007D4DDF" w:rsidRPr="007D4DDF">
        <w:rPr>
          <w:color w:val="000000"/>
          <w:szCs w:val="24"/>
        </w:rPr>
        <w:t>organi</w:t>
      </w:r>
      <w:r w:rsidR="007D4DDF">
        <w:rPr>
          <w:color w:val="000000"/>
          <w:szCs w:val="24"/>
        </w:rPr>
        <w:t>z</w:t>
      </w:r>
      <w:r w:rsidR="007D4DDF" w:rsidRPr="007D4DDF">
        <w:rPr>
          <w:color w:val="000000"/>
          <w:szCs w:val="24"/>
        </w:rPr>
        <w:t xml:space="preserve">ations </w:t>
      </w:r>
      <w:r w:rsidRPr="007D4DDF">
        <w:rPr>
          <w:color w:val="000000"/>
          <w:szCs w:val="24"/>
        </w:rPr>
        <w:t>and others to do so. This may require investment in major social housing programmes.</w:t>
      </w:r>
    </w:p>
    <w:p w14:paraId="0659BA0E" w14:textId="77777777" w:rsidR="00A30391" w:rsidRPr="007D4DDF" w:rsidRDefault="00456CFD" w:rsidP="00777703">
      <w:pPr>
        <w:spacing w:before="0" w:after="120" w:line="240" w:lineRule="auto"/>
        <w:rPr>
          <w:color w:val="000000"/>
          <w:szCs w:val="24"/>
        </w:rPr>
      </w:pPr>
      <w:r w:rsidRPr="007D4DDF">
        <w:rPr>
          <w:color w:val="000000"/>
          <w:szCs w:val="24"/>
        </w:rPr>
        <w:t xml:space="preserve">The general availability of income benefits, housing benefits, employment protection and other supports can have a major impact on preventing evictions, alongside the more </w:t>
      </w:r>
      <w:r w:rsidRPr="007D4DDF">
        <w:rPr>
          <w:color w:val="000000"/>
          <w:szCs w:val="24"/>
        </w:rPr>
        <w:lastRenderedPageBreak/>
        <w:t>focused and targeted secondary and tertiary prevention measures. Indeed, social transfers reduced the at-risk-of-poverty rate by around 50</w:t>
      </w:r>
      <w:r w:rsidR="00A30391" w:rsidRPr="007D4DDF">
        <w:rPr>
          <w:color w:val="000000"/>
          <w:szCs w:val="24"/>
        </w:rPr>
        <w:t xml:space="preserve"> </w:t>
      </w:r>
      <w:r w:rsidRPr="007D4DDF">
        <w:rPr>
          <w:color w:val="000000"/>
          <w:szCs w:val="24"/>
        </w:rPr>
        <w:t>per cent</w:t>
      </w:r>
      <w:r w:rsidR="00A30391" w:rsidRPr="007D4DDF">
        <w:rPr>
          <w:color w:val="000000"/>
          <w:szCs w:val="24"/>
        </w:rPr>
        <w:t xml:space="preserve"> </w:t>
      </w:r>
      <w:r w:rsidRPr="007D4DDF">
        <w:rPr>
          <w:color w:val="000000"/>
          <w:szCs w:val="24"/>
        </w:rPr>
        <w:t>or more in the Czech Republic, Germany, Finland, Ireland, the Netherlands, Sweden and the United Kingdom.</w:t>
      </w:r>
      <w:r w:rsidRPr="007D4DDF">
        <w:rPr>
          <w:rStyle w:val="FootnoteReference"/>
          <w:color w:val="000000"/>
          <w:szCs w:val="24"/>
        </w:rPr>
        <w:footnoteReference w:id="51"/>
      </w:r>
      <w:r w:rsidR="00F301A3" w:rsidRPr="007D4DDF">
        <w:rPr>
          <w:color w:val="000000"/>
          <w:szCs w:val="24"/>
        </w:rPr>
        <w:t xml:space="preserve"> </w:t>
      </w:r>
      <w:r w:rsidRPr="007D4DDF">
        <w:rPr>
          <w:color w:val="000000"/>
          <w:szCs w:val="24"/>
        </w:rPr>
        <w:t>However, the EU Pilot Project Report identified an increasing gap between combined welfare and housing benefit levels, compared with increasing rent levels, particularly in urban growth centres, where a high level of evictions from private rented housing is evident. The specific nature of this problem varies, depending on whether the focus is on very high rent levels in cities, such as London, Munich, Paris or Stockholm, or on general poverty problems for lower-income people in CEE Member States. There is a major current challenge in aligning welfare and housing benefit levels with housing costs so as to enable low-income and vulnerable pe</w:t>
      </w:r>
      <w:r w:rsidR="00EB0FFD" w:rsidRPr="007D4DDF">
        <w:rPr>
          <w:color w:val="000000"/>
          <w:szCs w:val="24"/>
        </w:rPr>
        <w:t>rsons</w:t>
      </w:r>
      <w:r w:rsidRPr="007D4DDF">
        <w:rPr>
          <w:color w:val="000000"/>
          <w:szCs w:val="24"/>
        </w:rPr>
        <w:t xml:space="preserve"> to access secure and affordable housing.</w:t>
      </w:r>
    </w:p>
    <w:p w14:paraId="3B435E90" w14:textId="77777777" w:rsidR="00963821" w:rsidRPr="007D4DDF" w:rsidRDefault="00456CFD" w:rsidP="00777703">
      <w:pPr>
        <w:spacing w:before="0" w:after="120" w:line="240" w:lineRule="auto"/>
        <w:rPr>
          <w:color w:val="000000"/>
          <w:szCs w:val="24"/>
        </w:rPr>
      </w:pPr>
      <w:r w:rsidRPr="007D4DDF">
        <w:rPr>
          <w:color w:val="000000"/>
          <w:szCs w:val="24"/>
        </w:rPr>
        <w:t>Evictions can be prevented in many ways. Availability of financial and social support from family and friends can be significant factors. Public assistance to cover rent arrears/mortgage instalments and the provision of housing counselling and advice are also significant. Holl et</w:t>
      </w:r>
      <w:r w:rsidRPr="007D4DDF">
        <w:rPr>
          <w:i/>
          <w:color w:val="000000"/>
          <w:szCs w:val="24"/>
        </w:rPr>
        <w:t xml:space="preserve"> </w:t>
      </w:r>
      <w:r w:rsidRPr="007D4DDF">
        <w:rPr>
          <w:color w:val="000000"/>
          <w:szCs w:val="24"/>
        </w:rPr>
        <w:t>al suggest that debt advice and legal assistance can be most effective in preventing evictions of tenants.</w:t>
      </w:r>
      <w:r w:rsidRPr="007D4DDF">
        <w:rPr>
          <w:rStyle w:val="FootnoteReference"/>
          <w:color w:val="000000"/>
          <w:szCs w:val="24"/>
        </w:rPr>
        <w:footnoteReference w:id="52"/>
      </w:r>
      <w:r w:rsidRPr="007D4DDF">
        <w:rPr>
          <w:color w:val="000000"/>
          <w:szCs w:val="24"/>
        </w:rPr>
        <w:t xml:space="preserve"> Evictions can be prevented or suspended through measures which support tenants to deal with arrears and debt, as well </w:t>
      </w:r>
      <w:r w:rsidR="00D94EE2" w:rsidRPr="007D4DDF">
        <w:rPr>
          <w:color w:val="000000"/>
          <w:szCs w:val="24"/>
        </w:rPr>
        <w:t xml:space="preserve">as </w:t>
      </w:r>
      <w:r w:rsidRPr="007D4DDF">
        <w:rPr>
          <w:color w:val="000000"/>
          <w:szCs w:val="24"/>
        </w:rPr>
        <w:t>developing realistic repayment options for arrears. There are a range of measures which can be taken in cases of mortgage arrears which would prevent evictions.</w:t>
      </w:r>
      <w:r w:rsidRPr="007D4DDF">
        <w:rPr>
          <w:rStyle w:val="FootnoteReference"/>
          <w:color w:val="000000"/>
          <w:szCs w:val="24"/>
        </w:rPr>
        <w:footnoteReference w:id="53"/>
      </w:r>
      <w:r w:rsidRPr="007D4DDF">
        <w:rPr>
          <w:color w:val="000000"/>
          <w:szCs w:val="24"/>
        </w:rPr>
        <w:t xml:space="preserve"> Other secondary prevention measures include notification by courts of </w:t>
      </w:r>
      <w:r w:rsidR="0000263C" w:rsidRPr="007D4DDF">
        <w:rPr>
          <w:color w:val="000000"/>
          <w:szCs w:val="24"/>
        </w:rPr>
        <w:t>state</w:t>
      </w:r>
      <w:r w:rsidRPr="007D4DDF">
        <w:rPr>
          <w:color w:val="000000"/>
          <w:szCs w:val="24"/>
        </w:rPr>
        <w:t xml:space="preserve">/welfare agencies of the planned eviction, legal aid and representation, adequate legal defences to eviction, general moratorium on evictions, winter and </w:t>
      </w:r>
      <w:r w:rsidR="00D94EE2" w:rsidRPr="007D4DDF">
        <w:rPr>
          <w:color w:val="000000"/>
          <w:szCs w:val="24"/>
        </w:rPr>
        <w:t>out-of-</w:t>
      </w:r>
      <w:r w:rsidRPr="007D4DDF">
        <w:rPr>
          <w:color w:val="000000"/>
          <w:szCs w:val="24"/>
        </w:rPr>
        <w:t>hours bans on evictions, and court suspensions of eviction orders. Measures which reduce the negative impact of evictions include rapid or emergency rehousing of those evicted, protected minimum income and debt relief schemes</w:t>
      </w:r>
      <w:r w:rsidR="00D94EE2" w:rsidRPr="007D4DDF">
        <w:rPr>
          <w:color w:val="000000"/>
          <w:szCs w:val="24"/>
        </w:rPr>
        <w:t>,</w:t>
      </w:r>
      <w:r w:rsidRPr="007D4DDF">
        <w:rPr>
          <w:color w:val="000000"/>
          <w:szCs w:val="24"/>
        </w:rPr>
        <w:t xml:space="preserve"> and access to effective homelessness services.</w:t>
      </w:r>
    </w:p>
    <w:p w14:paraId="228F8BFD" w14:textId="77777777" w:rsidR="001A4592" w:rsidRPr="007D4DDF" w:rsidRDefault="00456CFD" w:rsidP="00777703">
      <w:pPr>
        <w:widowControl w:val="0"/>
        <w:autoSpaceDE w:val="0"/>
        <w:autoSpaceDN w:val="0"/>
        <w:adjustRightInd w:val="0"/>
        <w:spacing w:before="0" w:after="120" w:line="240" w:lineRule="auto"/>
        <w:rPr>
          <w:color w:val="000000"/>
          <w:szCs w:val="24"/>
        </w:rPr>
      </w:pPr>
      <w:r w:rsidRPr="007D4DDF">
        <w:rPr>
          <w:color w:val="000000"/>
          <w:szCs w:val="24"/>
        </w:rPr>
        <w:t>A critical limitation in any European research on evictions is the absence of data and reports on evictions in the in</w:t>
      </w:r>
      <w:r w:rsidRPr="007D4DDF">
        <w:rPr>
          <w:rFonts w:eastAsia="MS Mincho"/>
          <w:color w:val="000000"/>
          <w:szCs w:val="24"/>
          <w:lang w:eastAsia="ja-JP"/>
        </w:rPr>
        <w:t xml:space="preserve">formal or </w:t>
      </w:r>
      <w:r w:rsidR="00C00545" w:rsidRPr="007D4DDF">
        <w:rPr>
          <w:rFonts w:eastAsia="MS Mincho"/>
          <w:color w:val="000000"/>
          <w:szCs w:val="24"/>
          <w:lang w:eastAsia="ja-JP"/>
        </w:rPr>
        <w:t>‘</w:t>
      </w:r>
      <w:r w:rsidR="00B46BAE" w:rsidRPr="007D4DDF">
        <w:rPr>
          <w:rFonts w:eastAsia="MS Mincho"/>
          <w:color w:val="000000"/>
          <w:szCs w:val="24"/>
          <w:lang w:eastAsia="ja-JP"/>
        </w:rPr>
        <w:t>shadow</w:t>
      </w:r>
      <w:r w:rsidR="00C00545" w:rsidRPr="007D4DDF">
        <w:rPr>
          <w:rFonts w:eastAsia="MS Mincho"/>
          <w:color w:val="000000"/>
          <w:szCs w:val="24"/>
          <w:lang w:eastAsia="ja-JP"/>
        </w:rPr>
        <w:t>’</w:t>
      </w:r>
      <w:r w:rsidRPr="007D4DDF">
        <w:rPr>
          <w:rFonts w:eastAsia="MS Mincho"/>
          <w:color w:val="000000"/>
          <w:szCs w:val="24"/>
          <w:lang w:eastAsia="ja-JP"/>
        </w:rPr>
        <w:t xml:space="preserve"> housing sector, particularly among migrants (documented and undocumented) and other excluded people. These include people with disabilities, asylum seekers and others who experience insecure housing, precarious employment and a high risk of eviction, and those who are not included in state, court or NGO bureaucracy and/or </w:t>
      </w:r>
      <w:r w:rsidR="00D94EE2" w:rsidRPr="007D4DDF">
        <w:rPr>
          <w:rFonts w:eastAsia="MS Mincho"/>
          <w:color w:val="000000"/>
          <w:szCs w:val="24"/>
          <w:lang w:eastAsia="ja-JP"/>
        </w:rPr>
        <w:t>(</w:t>
      </w:r>
      <w:r w:rsidRPr="007D4DDF">
        <w:rPr>
          <w:rFonts w:eastAsia="MS Mincho"/>
          <w:color w:val="000000"/>
          <w:szCs w:val="24"/>
          <w:lang w:eastAsia="ja-JP"/>
        </w:rPr>
        <w:t xml:space="preserve">any other) record-keeping. Data exists on </w:t>
      </w:r>
      <w:r w:rsidR="00C34CEE">
        <w:rPr>
          <w:rFonts w:eastAsia="MS Mincho"/>
          <w:color w:val="000000"/>
          <w:szCs w:val="24"/>
          <w:lang w:eastAsia="ja-JP"/>
        </w:rPr>
        <w:t xml:space="preserve">such </w:t>
      </w:r>
      <w:r w:rsidRPr="007D4DDF">
        <w:rPr>
          <w:rFonts w:eastAsia="MS Mincho"/>
          <w:color w:val="000000"/>
          <w:szCs w:val="24"/>
          <w:lang w:eastAsia="ja-JP"/>
        </w:rPr>
        <w:t xml:space="preserve">evictions in only a few </w:t>
      </w:r>
      <w:r w:rsidR="00552E8D" w:rsidRPr="007D4DDF">
        <w:rPr>
          <w:rFonts w:eastAsia="MS Mincho"/>
          <w:color w:val="000000"/>
          <w:szCs w:val="24"/>
          <w:lang w:eastAsia="ja-JP"/>
        </w:rPr>
        <w:t>n</w:t>
      </w:r>
      <w:r w:rsidRPr="007D4DDF">
        <w:rPr>
          <w:rFonts w:eastAsia="MS Mincho"/>
          <w:color w:val="000000"/>
          <w:szCs w:val="24"/>
          <w:lang w:eastAsia="ja-JP"/>
        </w:rPr>
        <w:t>orthern European countries</w:t>
      </w:r>
      <w:r w:rsidR="001E6519" w:rsidRPr="007D4DDF">
        <w:rPr>
          <w:rFonts w:eastAsia="MS Mincho"/>
          <w:color w:val="000000"/>
          <w:szCs w:val="24"/>
          <w:lang w:eastAsia="ja-JP"/>
        </w:rPr>
        <w:t>;</w:t>
      </w:r>
      <w:r w:rsidRPr="007D4DDF">
        <w:rPr>
          <w:rFonts w:eastAsia="MS Mincho"/>
          <w:color w:val="000000"/>
          <w:szCs w:val="24"/>
          <w:lang w:eastAsia="ja-JP"/>
        </w:rPr>
        <w:t xml:space="preserve"> although anecdotal accounts would suggest that there are many evictions in th</w:t>
      </w:r>
      <w:r w:rsidR="00C34CEE">
        <w:rPr>
          <w:rFonts w:eastAsia="MS Mincho"/>
          <w:color w:val="000000"/>
          <w:szCs w:val="24"/>
          <w:lang w:eastAsia="ja-JP"/>
        </w:rPr>
        <w:t>e informal or ‘shadow’</w:t>
      </w:r>
      <w:r w:rsidRPr="007D4DDF">
        <w:rPr>
          <w:rFonts w:eastAsia="MS Mincho"/>
          <w:color w:val="000000"/>
          <w:szCs w:val="24"/>
          <w:lang w:eastAsia="ja-JP"/>
        </w:rPr>
        <w:t xml:space="preserve"> sector. </w:t>
      </w:r>
      <w:r w:rsidRPr="007D4DDF">
        <w:rPr>
          <w:color w:val="000000"/>
          <w:szCs w:val="24"/>
        </w:rPr>
        <w:t xml:space="preserve">The risk of homelessness among those evicted is clearly related to economic and social resource </w:t>
      </w:r>
      <w:r w:rsidRPr="007D4DDF">
        <w:rPr>
          <w:color w:val="000000"/>
          <w:szCs w:val="24"/>
        </w:rPr>
        <w:lastRenderedPageBreak/>
        <w:t>levels, with the poorest people (always including migrants) generally becoming homeless in the absence of state or family support.</w:t>
      </w:r>
    </w:p>
    <w:p w14:paraId="77FA1BEF" w14:textId="77777777" w:rsidR="001A4592" w:rsidRPr="007D4DDF" w:rsidRDefault="00BD6722" w:rsidP="00777703">
      <w:pPr>
        <w:spacing w:before="0" w:after="120" w:line="240" w:lineRule="auto"/>
        <w:rPr>
          <w:szCs w:val="24"/>
        </w:rPr>
      </w:pPr>
      <w:r w:rsidRPr="007D4DDF">
        <w:rPr>
          <w:szCs w:val="24"/>
        </w:rPr>
        <w:t xml:space="preserve">Specific policies related to evictions </w:t>
      </w:r>
      <w:r w:rsidR="00C34CEE">
        <w:rPr>
          <w:szCs w:val="24"/>
        </w:rPr>
        <w:t xml:space="preserve">in </w:t>
      </w:r>
      <w:r w:rsidR="002820CB" w:rsidRPr="007D4DDF">
        <w:rPr>
          <w:szCs w:val="24"/>
        </w:rPr>
        <w:t>the eleven countries in this study va</w:t>
      </w:r>
      <w:r w:rsidRPr="007D4DDF">
        <w:rPr>
          <w:szCs w:val="24"/>
        </w:rPr>
        <w:t>ry</w:t>
      </w:r>
      <w:r w:rsidR="002820CB" w:rsidRPr="007D4DDF">
        <w:rPr>
          <w:szCs w:val="24"/>
        </w:rPr>
        <w:t xml:space="preserve"> considerably.</w:t>
      </w:r>
      <w:r w:rsidR="002820CB" w:rsidRPr="007D4DDF">
        <w:rPr>
          <w:color w:val="000000"/>
          <w:szCs w:val="24"/>
        </w:rPr>
        <w:t xml:space="preserve"> All countries have a range of </w:t>
      </w:r>
      <w:r w:rsidR="0000263C" w:rsidRPr="007D4DDF">
        <w:rPr>
          <w:color w:val="000000"/>
          <w:szCs w:val="24"/>
        </w:rPr>
        <w:t>state</w:t>
      </w:r>
      <w:r w:rsidR="002820CB" w:rsidRPr="007D4DDF">
        <w:rPr>
          <w:color w:val="000000"/>
          <w:szCs w:val="24"/>
        </w:rPr>
        <w:t xml:space="preserve"> and charitable funds which support those at risk or after eviction</w:t>
      </w:r>
      <w:r w:rsidR="00C34CEE">
        <w:rPr>
          <w:color w:val="000000"/>
          <w:szCs w:val="24"/>
        </w:rPr>
        <w:t xml:space="preserve">. </w:t>
      </w:r>
      <w:r w:rsidR="002820CB" w:rsidRPr="007D4DDF">
        <w:rPr>
          <w:color w:val="000000"/>
          <w:szCs w:val="24"/>
        </w:rPr>
        <w:t>In France, the Housing Solidarity Fund can assist those in arrears, and courts are obliged to allow a</w:t>
      </w:r>
      <w:r w:rsidR="00963821" w:rsidRPr="007D4DDF">
        <w:rPr>
          <w:color w:val="000000"/>
          <w:szCs w:val="24"/>
        </w:rPr>
        <w:t xml:space="preserve"> </w:t>
      </w:r>
      <w:r w:rsidR="002820CB" w:rsidRPr="007D4DDF">
        <w:rPr>
          <w:color w:val="000000"/>
          <w:szCs w:val="24"/>
        </w:rPr>
        <w:t xml:space="preserve">tenant three years to repay arrears, while the </w:t>
      </w:r>
      <w:r w:rsidR="006D4005" w:rsidRPr="007D4DDF">
        <w:rPr>
          <w:color w:val="000000"/>
          <w:szCs w:val="24"/>
        </w:rPr>
        <w:t xml:space="preserve">social agency </w:t>
      </w:r>
      <w:r w:rsidR="002820CB" w:rsidRPr="007D4DDF">
        <w:rPr>
          <w:color w:val="000000"/>
          <w:szCs w:val="24"/>
        </w:rPr>
        <w:t>CCAPEX can intervene at any time to provide alternative housing. In Germany, t</w:t>
      </w:r>
      <w:r w:rsidR="002820CB" w:rsidRPr="007D4DDF">
        <w:rPr>
          <w:color w:val="212121"/>
          <w:szCs w:val="24"/>
        </w:rPr>
        <w:t>here is a housing allowance (</w:t>
      </w:r>
      <w:proofErr w:type="spellStart"/>
      <w:r w:rsidR="002820CB" w:rsidRPr="007D4DDF">
        <w:rPr>
          <w:i/>
          <w:color w:val="212121"/>
          <w:szCs w:val="24"/>
        </w:rPr>
        <w:t>Wohngeld</w:t>
      </w:r>
      <w:proofErr w:type="spellEnd"/>
      <w:r w:rsidR="002820CB" w:rsidRPr="007D4DDF">
        <w:rPr>
          <w:color w:val="212121"/>
          <w:szCs w:val="24"/>
        </w:rPr>
        <w:t>)</w:t>
      </w:r>
      <w:r w:rsidR="00963821" w:rsidRPr="007D4DDF">
        <w:rPr>
          <w:color w:val="212121"/>
          <w:szCs w:val="24"/>
        </w:rPr>
        <w:t>,</w:t>
      </w:r>
      <w:r w:rsidR="002820CB" w:rsidRPr="007D4DDF">
        <w:rPr>
          <w:color w:val="212121"/>
          <w:szCs w:val="24"/>
        </w:rPr>
        <w:t xml:space="preserve"> </w:t>
      </w:r>
      <w:r w:rsidR="002820CB" w:rsidRPr="007D4DDF">
        <w:rPr>
          <w:szCs w:val="24"/>
        </w:rPr>
        <w:t>for those on low incomes with high housing costs</w:t>
      </w:r>
      <w:r w:rsidR="00D94EE2" w:rsidRPr="007D4DDF">
        <w:rPr>
          <w:szCs w:val="24"/>
        </w:rPr>
        <w:t>,</w:t>
      </w:r>
      <w:r w:rsidR="002820CB" w:rsidRPr="007D4DDF">
        <w:rPr>
          <w:szCs w:val="24"/>
        </w:rPr>
        <w:t xml:space="preserve"> and a social protection system. In the UK, there is a welfare </w:t>
      </w:r>
      <w:r w:rsidR="0000263C" w:rsidRPr="007D4DDF">
        <w:rPr>
          <w:szCs w:val="24"/>
        </w:rPr>
        <w:t>state</w:t>
      </w:r>
      <w:r w:rsidR="002820CB" w:rsidRPr="007D4DDF">
        <w:rPr>
          <w:szCs w:val="24"/>
        </w:rPr>
        <w:t xml:space="preserve"> safety net involving emergency homelessness provision, social protection measures and housing benefits to assist with housing costs, in addition to a range of statutory and policy measures. For instance, legislation from 1977 on protection from </w:t>
      </w:r>
      <w:r w:rsidR="00035758" w:rsidRPr="007D4DDF">
        <w:rPr>
          <w:szCs w:val="24"/>
        </w:rPr>
        <w:t>evictions</w:t>
      </w:r>
      <w:r w:rsidR="002820CB" w:rsidRPr="007D4DDF">
        <w:rPr>
          <w:szCs w:val="24"/>
        </w:rPr>
        <w:t xml:space="preserve"> enables local authorities to intervene and support tenants</w:t>
      </w:r>
      <w:r w:rsidR="00C34CEE">
        <w:rPr>
          <w:szCs w:val="24"/>
        </w:rPr>
        <w:t xml:space="preserve"> at risk of eviction</w:t>
      </w:r>
      <w:r w:rsidR="002820CB" w:rsidRPr="007D4DDF">
        <w:rPr>
          <w:szCs w:val="24"/>
        </w:rPr>
        <w:t>. There is also a statutory obligation on local authorities</w:t>
      </w:r>
      <w:r w:rsidR="00D94EE2" w:rsidRPr="007D4DDF">
        <w:rPr>
          <w:szCs w:val="24"/>
        </w:rPr>
        <w:t>,</w:t>
      </w:r>
      <w:r w:rsidR="002820CB" w:rsidRPr="007D4DDF">
        <w:rPr>
          <w:szCs w:val="24"/>
        </w:rPr>
        <w:t xml:space="preserve"> since the 1970s, to provide accommodation for homeless people who are in priority need (those with children, disabilities or a vulnerability), are not intentionally homeless</w:t>
      </w:r>
      <w:r w:rsidR="00313D41" w:rsidRPr="007D4DDF">
        <w:rPr>
          <w:szCs w:val="24"/>
        </w:rPr>
        <w:t>,</w:t>
      </w:r>
      <w:r w:rsidR="002820CB" w:rsidRPr="007D4DDF">
        <w:rPr>
          <w:szCs w:val="24"/>
        </w:rPr>
        <w:t xml:space="preserve"> and have</w:t>
      </w:r>
      <w:r w:rsidR="00C34CEE">
        <w:rPr>
          <w:szCs w:val="24"/>
        </w:rPr>
        <w:t xml:space="preserve"> a</w:t>
      </w:r>
      <w:r w:rsidR="002820CB" w:rsidRPr="007D4DDF">
        <w:rPr>
          <w:szCs w:val="24"/>
        </w:rPr>
        <w:t xml:space="preserve"> local connection with the authority.</w:t>
      </w:r>
    </w:p>
    <w:p w14:paraId="510E9469" w14:textId="77777777" w:rsidR="001A4592" w:rsidRPr="007D4DDF" w:rsidRDefault="002820CB" w:rsidP="00777703">
      <w:pPr>
        <w:spacing w:before="0" w:after="120" w:line="240" w:lineRule="auto"/>
        <w:rPr>
          <w:szCs w:val="24"/>
        </w:rPr>
      </w:pPr>
      <w:r w:rsidRPr="007D4DDF">
        <w:rPr>
          <w:color w:val="000000"/>
          <w:szCs w:val="24"/>
        </w:rPr>
        <w:t xml:space="preserve">In France and Belgium, there are a range of policies to prevent evictions such as an obligation on landlords or courts to notify public authorities of an impending eviction. </w:t>
      </w:r>
      <w:r w:rsidR="00A13713" w:rsidRPr="007D4DDF">
        <w:rPr>
          <w:szCs w:val="24"/>
        </w:rPr>
        <w:t xml:space="preserve">Relevant Italian housing policy measures include support for vulnerable people, suspension of evictions and measures to alleviate temporary economic hardship. </w:t>
      </w:r>
      <w:r w:rsidR="00C34CEE">
        <w:rPr>
          <w:szCs w:val="24"/>
        </w:rPr>
        <w:t>Italian l</w:t>
      </w:r>
      <w:r w:rsidR="00A13713" w:rsidRPr="007D4DDF">
        <w:rPr>
          <w:szCs w:val="24"/>
        </w:rPr>
        <w:t xml:space="preserve">egislation which allows the suspension of enforcement of evictions has resulted in mortgage lenders becoming more conciliatory. Faced with a lengthy process, lenders often opt for some form of debt restructuring or forbearance, which usually results in lower levels of evictions. As pointed out by Elena </w:t>
      </w:r>
      <w:proofErr w:type="spellStart"/>
      <w:r w:rsidR="00A13713" w:rsidRPr="007D4DDF">
        <w:rPr>
          <w:szCs w:val="24"/>
        </w:rPr>
        <w:t>Bargelli</w:t>
      </w:r>
      <w:proofErr w:type="spellEnd"/>
      <w:r w:rsidR="00A13713" w:rsidRPr="007D4DDF">
        <w:rPr>
          <w:szCs w:val="24"/>
        </w:rPr>
        <w:t xml:space="preserve"> and </w:t>
      </w:r>
      <w:r w:rsidR="00817C96">
        <w:rPr>
          <w:szCs w:val="24"/>
        </w:rPr>
        <w:t>Giulia</w:t>
      </w:r>
      <w:r w:rsidR="00A13713" w:rsidRPr="007D4DDF">
        <w:rPr>
          <w:szCs w:val="24"/>
        </w:rPr>
        <w:t xml:space="preserve"> </w:t>
      </w:r>
      <w:proofErr w:type="spellStart"/>
      <w:r w:rsidR="00A13713" w:rsidRPr="007D4DDF">
        <w:rPr>
          <w:szCs w:val="24"/>
        </w:rPr>
        <w:t>Donadio</w:t>
      </w:r>
      <w:proofErr w:type="spellEnd"/>
      <w:r w:rsidR="00A13713" w:rsidRPr="007D4DDF">
        <w:rPr>
          <w:szCs w:val="24"/>
        </w:rPr>
        <w:t>, the Solidarity Fund of 2007 finances the suspension of mortgage payments in cases of death, total impairment or unemployment. There is also an alternative dispute</w:t>
      </w:r>
      <w:r w:rsidR="002D51F9" w:rsidRPr="007D4DDF">
        <w:rPr>
          <w:szCs w:val="24"/>
        </w:rPr>
        <w:t>-</w:t>
      </w:r>
      <w:r w:rsidR="00A13713" w:rsidRPr="007D4DDF">
        <w:rPr>
          <w:szCs w:val="24"/>
        </w:rPr>
        <w:t>resolution system focused on the mortgage market. The Social Fund for Rent and Fund for Tenants in Default</w:t>
      </w:r>
      <w:r w:rsidR="00963821" w:rsidRPr="007D4DDF">
        <w:rPr>
          <w:szCs w:val="24"/>
        </w:rPr>
        <w:t>,</w:t>
      </w:r>
      <w:r w:rsidR="00A13713" w:rsidRPr="007D4DDF">
        <w:rPr>
          <w:szCs w:val="24"/>
        </w:rPr>
        <w:t xml:space="preserve"> assists those who cannot afford rents in the private rented sector. Tenancy laws initiated in 1978 act to suspend evictions and allow late payments of arrears to avoid eviction.</w:t>
      </w:r>
    </w:p>
    <w:p w14:paraId="37607243" w14:textId="77777777" w:rsidR="001A4592" w:rsidRPr="007D4DDF" w:rsidRDefault="002820CB" w:rsidP="00777703">
      <w:pPr>
        <w:spacing w:before="0" w:after="120" w:line="240" w:lineRule="auto"/>
        <w:rPr>
          <w:szCs w:val="24"/>
        </w:rPr>
      </w:pPr>
      <w:r w:rsidRPr="007D4DDF">
        <w:rPr>
          <w:color w:val="000000"/>
          <w:szCs w:val="24"/>
        </w:rPr>
        <w:t>The foreign exchange loan crisis in Hungary led to government action in 2012, with the establishment of the National Asset Management Company, which took over those mortgages</w:t>
      </w:r>
      <w:r w:rsidR="00C34CEE">
        <w:rPr>
          <w:color w:val="000000"/>
          <w:szCs w:val="24"/>
        </w:rPr>
        <w:t xml:space="preserve">. </w:t>
      </w:r>
      <w:r w:rsidRPr="007D4DDF">
        <w:rPr>
          <w:color w:val="000000"/>
          <w:szCs w:val="24"/>
        </w:rPr>
        <w:t>Loans were taken at 3</w:t>
      </w:r>
      <w:r w:rsidR="00A30391" w:rsidRPr="007D4DDF">
        <w:rPr>
          <w:color w:val="000000"/>
          <w:szCs w:val="24"/>
        </w:rPr>
        <w:t>5–5</w:t>
      </w:r>
      <w:r w:rsidRPr="007D4DDF">
        <w:rPr>
          <w:color w:val="000000"/>
          <w:szCs w:val="24"/>
        </w:rPr>
        <w:t>5 per cent of origination value</w:t>
      </w:r>
      <w:r w:rsidR="002B15E9" w:rsidRPr="007D4DDF">
        <w:rPr>
          <w:color w:val="000000"/>
          <w:szCs w:val="24"/>
        </w:rPr>
        <w:t>,</w:t>
      </w:r>
      <w:r w:rsidRPr="007D4DDF">
        <w:rPr>
          <w:color w:val="000000"/>
          <w:szCs w:val="24"/>
        </w:rPr>
        <w:t xml:space="preserve"> and debtors converted to tenants, thereby avoiding evictions. By 2016, some 25</w:t>
      </w:r>
      <w:r w:rsidR="002B15E9" w:rsidRPr="007D4DDF">
        <w:rPr>
          <w:color w:val="000000"/>
          <w:szCs w:val="24"/>
        </w:rPr>
        <w:t xml:space="preserve"> </w:t>
      </w:r>
      <w:r w:rsidRPr="007D4DDF">
        <w:rPr>
          <w:color w:val="000000"/>
          <w:szCs w:val="24"/>
        </w:rPr>
        <w:t xml:space="preserve">000 mortgages had been converted to tenancies in this way. In Spain, as Sergio </w:t>
      </w:r>
      <w:proofErr w:type="spellStart"/>
      <w:r w:rsidRPr="007D4DDF">
        <w:rPr>
          <w:color w:val="000000"/>
          <w:szCs w:val="24"/>
        </w:rPr>
        <w:t>Nasarre</w:t>
      </w:r>
      <w:proofErr w:type="spellEnd"/>
      <w:r w:rsidR="00112951" w:rsidRPr="007D4DDF">
        <w:rPr>
          <w:color w:val="000000"/>
          <w:szCs w:val="24"/>
        </w:rPr>
        <w:t>-</w:t>
      </w:r>
      <w:r w:rsidRPr="007D4DDF">
        <w:rPr>
          <w:color w:val="000000"/>
          <w:szCs w:val="24"/>
        </w:rPr>
        <w:t xml:space="preserve">Aznar and Rosa Maria Garcia </w:t>
      </w:r>
      <w:proofErr w:type="spellStart"/>
      <w:r w:rsidRPr="007D4DDF">
        <w:rPr>
          <w:color w:val="000000"/>
          <w:szCs w:val="24"/>
        </w:rPr>
        <w:t>Teruel</w:t>
      </w:r>
      <w:proofErr w:type="spellEnd"/>
      <w:r w:rsidRPr="007D4DDF">
        <w:rPr>
          <w:color w:val="000000"/>
          <w:szCs w:val="24"/>
        </w:rPr>
        <w:t xml:space="preserve"> point out, the national government did not react to the crisis until 2011, </w:t>
      </w:r>
      <w:r w:rsidR="001A4592" w:rsidRPr="007D4DDF">
        <w:rPr>
          <w:color w:val="000000"/>
          <w:szCs w:val="24"/>
        </w:rPr>
        <w:t xml:space="preserve">and </w:t>
      </w:r>
      <w:r w:rsidRPr="007D4DDF">
        <w:rPr>
          <w:color w:val="000000"/>
          <w:szCs w:val="24"/>
        </w:rPr>
        <w:t>the Autonomous Regions</w:t>
      </w:r>
      <w:r w:rsidR="00A13713" w:rsidRPr="007D4DDF">
        <w:rPr>
          <w:color w:val="000000"/>
          <w:szCs w:val="24"/>
        </w:rPr>
        <w:t>,</w:t>
      </w:r>
      <w:r w:rsidRPr="007D4DDF">
        <w:rPr>
          <w:color w:val="000000"/>
          <w:szCs w:val="24"/>
        </w:rPr>
        <w:t xml:space="preserve"> such as Catalonia</w:t>
      </w:r>
      <w:r w:rsidR="00A13713" w:rsidRPr="007D4DDF">
        <w:rPr>
          <w:color w:val="000000"/>
          <w:szCs w:val="24"/>
        </w:rPr>
        <w:t>,</w:t>
      </w:r>
      <w:r w:rsidRPr="007D4DDF">
        <w:rPr>
          <w:color w:val="000000"/>
          <w:szCs w:val="24"/>
        </w:rPr>
        <w:t xml:space="preserve"> were the first to address the issue of evictions. However, almost all these steps by the Autonomous Regions have been challenged before the </w:t>
      </w:r>
      <w:r w:rsidR="00A13713" w:rsidRPr="007D4DDF">
        <w:rPr>
          <w:szCs w:val="24"/>
        </w:rPr>
        <w:t xml:space="preserve">Spanish </w:t>
      </w:r>
      <w:r w:rsidRPr="007D4DDF">
        <w:rPr>
          <w:szCs w:val="24"/>
        </w:rPr>
        <w:t xml:space="preserve">Constitutional Court. This has led to the rise of social movements and judicial activism by some judges to mitigate the worst effects of the situation. In 2011, legislation protected </w:t>
      </w:r>
      <w:r w:rsidR="00A13713" w:rsidRPr="007D4DDF">
        <w:rPr>
          <w:szCs w:val="24"/>
        </w:rPr>
        <w:t xml:space="preserve">a minimum </w:t>
      </w:r>
      <w:r w:rsidRPr="007D4DDF">
        <w:rPr>
          <w:szCs w:val="24"/>
        </w:rPr>
        <w:t>income of the debtor from being attached as part of the enforcement of the security on the defaulted mortgage. There are public and charitable funds to assist those evicted</w:t>
      </w:r>
      <w:r w:rsidR="00BD6722" w:rsidRPr="007D4DDF">
        <w:rPr>
          <w:szCs w:val="24"/>
        </w:rPr>
        <w:t xml:space="preserve"> by</w:t>
      </w:r>
      <w:r w:rsidRPr="007D4DDF">
        <w:rPr>
          <w:szCs w:val="24"/>
        </w:rPr>
        <w:t xml:space="preserve"> </w:t>
      </w:r>
      <w:r w:rsidR="001A4592" w:rsidRPr="007D4DDF">
        <w:rPr>
          <w:szCs w:val="24"/>
        </w:rPr>
        <w:t xml:space="preserve">the </w:t>
      </w:r>
      <w:r w:rsidRPr="007D4DDF">
        <w:rPr>
          <w:szCs w:val="24"/>
        </w:rPr>
        <w:t>provi</w:t>
      </w:r>
      <w:r w:rsidR="001A4592" w:rsidRPr="007D4DDF">
        <w:rPr>
          <w:szCs w:val="24"/>
        </w:rPr>
        <w:t>sion of</w:t>
      </w:r>
      <w:r w:rsidRPr="007D4DDF">
        <w:rPr>
          <w:szCs w:val="24"/>
        </w:rPr>
        <w:t xml:space="preserve"> temporary shelter.</w:t>
      </w:r>
    </w:p>
    <w:p w14:paraId="0A0C4052" w14:textId="77777777" w:rsidR="002B15E9" w:rsidRPr="007D4DDF" w:rsidRDefault="002B15E9" w:rsidP="00777703">
      <w:pPr>
        <w:pStyle w:val="Heading2"/>
        <w:spacing w:before="0" w:after="120" w:line="240" w:lineRule="auto"/>
        <w:rPr>
          <w:rFonts w:ascii="Times New Roman" w:hAnsi="Times New Roman"/>
        </w:rPr>
      </w:pPr>
      <w:bookmarkStart w:id="9" w:name="_Toc508191197"/>
    </w:p>
    <w:p w14:paraId="130C4450" w14:textId="2563514B" w:rsidR="001A4592" w:rsidRPr="007D4DDF" w:rsidRDefault="00B112F1" w:rsidP="00B320BA">
      <w:pPr>
        <w:pStyle w:val="Heading2"/>
        <w:spacing w:before="0" w:after="120" w:line="240" w:lineRule="auto"/>
        <w:rPr>
          <w:rFonts w:ascii="Times New Roman" w:hAnsi="Times New Roman"/>
        </w:rPr>
      </w:pPr>
      <w:r w:rsidRPr="007D4DDF">
        <w:rPr>
          <w:rFonts w:ascii="Times New Roman" w:hAnsi="Times New Roman"/>
        </w:rPr>
        <w:t>3.3</w:t>
      </w:r>
      <w:r w:rsidR="006E160F">
        <w:rPr>
          <w:rFonts w:ascii="Times New Roman" w:hAnsi="Times New Roman"/>
        </w:rPr>
        <w:t>.</w:t>
      </w:r>
      <w:r w:rsidR="00B752B1">
        <w:rPr>
          <w:rFonts w:ascii="Times New Roman" w:hAnsi="Times New Roman"/>
        </w:rPr>
        <w:t xml:space="preserve"> </w:t>
      </w:r>
      <w:r w:rsidR="00196196" w:rsidRPr="007D4DDF">
        <w:rPr>
          <w:rFonts w:ascii="Times New Roman" w:hAnsi="Times New Roman"/>
        </w:rPr>
        <w:t xml:space="preserve">Best </w:t>
      </w:r>
      <w:r w:rsidR="00771B91" w:rsidRPr="007D4DDF">
        <w:rPr>
          <w:rFonts w:ascii="Times New Roman" w:hAnsi="Times New Roman"/>
        </w:rPr>
        <w:t>P</w:t>
      </w:r>
      <w:r w:rsidR="00196196" w:rsidRPr="007D4DDF">
        <w:rPr>
          <w:rFonts w:ascii="Times New Roman" w:hAnsi="Times New Roman"/>
        </w:rPr>
        <w:t xml:space="preserve">ractice </w:t>
      </w:r>
      <w:r w:rsidR="00771B91" w:rsidRPr="007D4DDF">
        <w:rPr>
          <w:rFonts w:ascii="Times New Roman" w:hAnsi="Times New Roman"/>
        </w:rPr>
        <w:t>M</w:t>
      </w:r>
      <w:r w:rsidR="00196196" w:rsidRPr="007D4DDF">
        <w:rPr>
          <w:rFonts w:ascii="Times New Roman" w:hAnsi="Times New Roman"/>
        </w:rPr>
        <w:t xml:space="preserve">odels for </w:t>
      </w:r>
      <w:r w:rsidR="00771B91" w:rsidRPr="007D4DDF">
        <w:rPr>
          <w:rFonts w:ascii="Times New Roman" w:hAnsi="Times New Roman"/>
        </w:rPr>
        <w:t>P</w:t>
      </w:r>
      <w:r w:rsidR="00196196" w:rsidRPr="007D4DDF">
        <w:rPr>
          <w:rFonts w:ascii="Times New Roman" w:hAnsi="Times New Roman"/>
        </w:rPr>
        <w:t xml:space="preserve">reventing, </w:t>
      </w:r>
      <w:r w:rsidR="00771B91" w:rsidRPr="007D4DDF">
        <w:rPr>
          <w:rFonts w:ascii="Times New Roman" w:hAnsi="Times New Roman"/>
        </w:rPr>
        <w:t>T</w:t>
      </w:r>
      <w:r w:rsidR="00196196" w:rsidRPr="007D4DDF">
        <w:rPr>
          <w:rFonts w:ascii="Times New Roman" w:hAnsi="Times New Roman"/>
        </w:rPr>
        <w:t xml:space="preserve">ackling and </w:t>
      </w:r>
      <w:r w:rsidR="00771B91" w:rsidRPr="007D4DDF">
        <w:rPr>
          <w:rFonts w:ascii="Times New Roman" w:hAnsi="Times New Roman"/>
        </w:rPr>
        <w:t>R</w:t>
      </w:r>
      <w:r w:rsidR="00196196" w:rsidRPr="007D4DDF">
        <w:rPr>
          <w:rFonts w:ascii="Times New Roman" w:hAnsi="Times New Roman"/>
        </w:rPr>
        <w:t xml:space="preserve">eacting to </w:t>
      </w:r>
      <w:r w:rsidR="00771B91" w:rsidRPr="007D4DDF">
        <w:rPr>
          <w:rFonts w:ascii="Times New Roman" w:hAnsi="Times New Roman"/>
        </w:rPr>
        <w:t>E</w:t>
      </w:r>
      <w:r w:rsidR="00196196" w:rsidRPr="007D4DDF">
        <w:rPr>
          <w:rFonts w:ascii="Times New Roman" w:hAnsi="Times New Roman"/>
        </w:rPr>
        <w:t>victions</w:t>
      </w:r>
      <w:bookmarkEnd w:id="9"/>
    </w:p>
    <w:p w14:paraId="58A55F38" w14:textId="77777777" w:rsidR="001A4592" w:rsidRPr="007D4DDF" w:rsidRDefault="00196196" w:rsidP="00395E14">
      <w:pPr>
        <w:spacing w:before="0" w:after="120" w:line="240" w:lineRule="auto"/>
        <w:rPr>
          <w:szCs w:val="24"/>
        </w:rPr>
      </w:pPr>
      <w:r w:rsidRPr="007D4DDF">
        <w:rPr>
          <w:szCs w:val="24"/>
        </w:rPr>
        <w:t>There are a range of good practices examined in this study across the eleven countries, although most are tenure specific. In relation to mortgage arrears, the caution of lenders against reckless lending was highlighted as a key issue in Belgium, German and Italy</w:t>
      </w:r>
      <w:r w:rsidR="00A13713" w:rsidRPr="007D4DDF">
        <w:rPr>
          <w:szCs w:val="24"/>
        </w:rPr>
        <w:t>,</w:t>
      </w:r>
      <w:r w:rsidRPr="007D4DDF">
        <w:rPr>
          <w:szCs w:val="24"/>
        </w:rPr>
        <w:t xml:space="preserve"> and as a major factor in avoiding mortgage</w:t>
      </w:r>
      <w:r w:rsidR="00112951" w:rsidRPr="007D4DDF">
        <w:rPr>
          <w:szCs w:val="24"/>
        </w:rPr>
        <w:t>-</w:t>
      </w:r>
      <w:r w:rsidRPr="007D4DDF">
        <w:rPr>
          <w:szCs w:val="24"/>
        </w:rPr>
        <w:t xml:space="preserve">related evictions. In Germany, prevention of eviction from mortgaged property is </w:t>
      </w:r>
      <w:r w:rsidR="00C34CEE">
        <w:rPr>
          <w:szCs w:val="24"/>
        </w:rPr>
        <w:t xml:space="preserve">also </w:t>
      </w:r>
      <w:r w:rsidRPr="007D4DDF">
        <w:rPr>
          <w:szCs w:val="24"/>
        </w:rPr>
        <w:t xml:space="preserve">advanced through conservative lending practices, and long-term mortgages with fixed interest rates, which avoid sudden increases in costs for the borrower. The </w:t>
      </w:r>
      <w:r w:rsidR="007D4DDF" w:rsidRPr="007D4DDF">
        <w:rPr>
          <w:szCs w:val="24"/>
        </w:rPr>
        <w:t>harmoni</w:t>
      </w:r>
      <w:r w:rsidR="007D4DDF">
        <w:rPr>
          <w:szCs w:val="24"/>
        </w:rPr>
        <w:t>z</w:t>
      </w:r>
      <w:r w:rsidR="007D4DDF" w:rsidRPr="007D4DDF">
        <w:rPr>
          <w:szCs w:val="24"/>
        </w:rPr>
        <w:t xml:space="preserve">ation </w:t>
      </w:r>
      <w:r w:rsidRPr="007D4DDF">
        <w:rPr>
          <w:szCs w:val="24"/>
        </w:rPr>
        <w:t>of responsible lending</w:t>
      </w:r>
      <w:r w:rsidR="002B15E9" w:rsidRPr="007D4DDF">
        <w:rPr>
          <w:szCs w:val="24"/>
        </w:rPr>
        <w:t>,</w:t>
      </w:r>
      <w:r w:rsidRPr="007D4DDF">
        <w:rPr>
          <w:szCs w:val="24"/>
        </w:rPr>
        <w:t xml:space="preserve"> as a result of the </w:t>
      </w:r>
      <w:r w:rsidR="00C34CEE">
        <w:rPr>
          <w:szCs w:val="24"/>
        </w:rPr>
        <w:t xml:space="preserve">EU </w:t>
      </w:r>
      <w:r w:rsidRPr="007D4DDF">
        <w:rPr>
          <w:szCs w:val="24"/>
        </w:rPr>
        <w:t>Mortgage Credit Directive</w:t>
      </w:r>
      <w:r w:rsidR="002B15E9" w:rsidRPr="007D4DDF">
        <w:rPr>
          <w:szCs w:val="24"/>
        </w:rPr>
        <w:t>,</w:t>
      </w:r>
      <w:r w:rsidRPr="007D4DDF">
        <w:rPr>
          <w:szCs w:val="24"/>
        </w:rPr>
        <w:t xml:space="preserve"> is generally viewed as beneficial.</w:t>
      </w:r>
    </w:p>
    <w:p w14:paraId="5B42BCFC" w14:textId="77777777" w:rsidR="001A4592" w:rsidRPr="007D4DDF" w:rsidRDefault="00196196" w:rsidP="00777703">
      <w:pPr>
        <w:spacing w:before="0" w:after="120" w:line="240" w:lineRule="auto"/>
        <w:rPr>
          <w:szCs w:val="24"/>
        </w:rPr>
      </w:pPr>
      <w:r w:rsidRPr="007D4DDF">
        <w:rPr>
          <w:szCs w:val="24"/>
        </w:rPr>
        <w:t xml:space="preserve">A second example of good practice was the linkage of a range of support agencies, particularly when combined with an </w:t>
      </w:r>
      <w:r w:rsidR="00D90EA0" w:rsidRPr="007D4DDF">
        <w:rPr>
          <w:szCs w:val="24"/>
        </w:rPr>
        <w:t>early-</w:t>
      </w:r>
      <w:r w:rsidRPr="007D4DDF">
        <w:rPr>
          <w:szCs w:val="24"/>
        </w:rPr>
        <w:t>warning system</w:t>
      </w:r>
      <w:r w:rsidR="00922A7A" w:rsidRPr="007D4DDF">
        <w:rPr>
          <w:szCs w:val="24"/>
        </w:rPr>
        <w:t>;</w:t>
      </w:r>
      <w:r w:rsidRPr="007D4DDF">
        <w:rPr>
          <w:szCs w:val="24"/>
        </w:rPr>
        <w:t xml:space="preserve"> for instance, where there is an obligation on landlords or courts to inform social services of impending eviction, as in Germany. Other best practices include</w:t>
      </w:r>
      <w:r w:rsidR="007F1200" w:rsidRPr="007D4DDF">
        <w:rPr>
          <w:szCs w:val="24"/>
        </w:rPr>
        <w:t xml:space="preserve"> </w:t>
      </w:r>
      <w:r w:rsidRPr="007D4DDF">
        <w:rPr>
          <w:szCs w:val="24"/>
        </w:rPr>
        <w:t xml:space="preserve">the Flemish </w:t>
      </w:r>
      <w:r w:rsidR="00922A7A" w:rsidRPr="007D4DDF">
        <w:rPr>
          <w:szCs w:val="24"/>
        </w:rPr>
        <w:t>‘</w:t>
      </w:r>
      <w:r w:rsidRPr="007D4DDF">
        <w:rPr>
          <w:szCs w:val="24"/>
        </w:rPr>
        <w:t>fund to prevent evictions</w:t>
      </w:r>
      <w:r w:rsidR="00922A7A" w:rsidRPr="007D4DDF">
        <w:rPr>
          <w:szCs w:val="24"/>
        </w:rPr>
        <w:t>’</w:t>
      </w:r>
      <w:r w:rsidR="003D0848" w:rsidRPr="007D4DDF">
        <w:rPr>
          <w:szCs w:val="24"/>
        </w:rPr>
        <w:t>,</w:t>
      </w:r>
      <w:r w:rsidRPr="007D4DDF">
        <w:rPr>
          <w:szCs w:val="24"/>
        </w:rPr>
        <w:t xml:space="preserve"> compensating a small number of affiliated landlords for a shortfall between a court</w:t>
      </w:r>
      <w:r w:rsidR="00D94C13" w:rsidRPr="007D4DDF">
        <w:rPr>
          <w:szCs w:val="24"/>
        </w:rPr>
        <w:t>-</w:t>
      </w:r>
      <w:r w:rsidRPr="007D4DDF">
        <w:rPr>
          <w:szCs w:val="24"/>
        </w:rPr>
        <w:t xml:space="preserve">agreed payment schedule and the actual payments made by the tenant. The French GIP Charente </w:t>
      </w:r>
      <w:proofErr w:type="spellStart"/>
      <w:r w:rsidRPr="007D4DDF">
        <w:rPr>
          <w:szCs w:val="24"/>
        </w:rPr>
        <w:t>Solidarités</w:t>
      </w:r>
      <w:proofErr w:type="spellEnd"/>
      <w:r w:rsidRPr="007D4DDF">
        <w:rPr>
          <w:szCs w:val="24"/>
        </w:rPr>
        <w:t xml:space="preserve"> (Charente Solidarities Public Interests Group</w:t>
      </w:r>
      <w:r w:rsidR="00D94EE2" w:rsidRPr="007D4DDF">
        <w:rPr>
          <w:szCs w:val="24"/>
        </w:rPr>
        <w:t>)</w:t>
      </w:r>
      <w:r w:rsidRPr="007D4DDF">
        <w:rPr>
          <w:szCs w:val="24"/>
        </w:rPr>
        <w:t xml:space="preserve"> coordinates all actions preventing evictions in the Department of Charente. It manages the Fund for Solidarity for Housing (FSL), and a </w:t>
      </w:r>
      <w:r w:rsidR="009134ED" w:rsidRPr="007D4DDF">
        <w:rPr>
          <w:szCs w:val="24"/>
        </w:rPr>
        <w:t>personali</w:t>
      </w:r>
      <w:r w:rsidR="009134ED">
        <w:rPr>
          <w:szCs w:val="24"/>
        </w:rPr>
        <w:t>z</w:t>
      </w:r>
      <w:r w:rsidR="009134ED" w:rsidRPr="007D4DDF">
        <w:rPr>
          <w:szCs w:val="24"/>
        </w:rPr>
        <w:t xml:space="preserve">ed </w:t>
      </w:r>
      <w:r w:rsidRPr="007D4DDF">
        <w:rPr>
          <w:szCs w:val="24"/>
        </w:rPr>
        <w:t>support service, making reports to the court and the Prefect at all stages of the procedure. Two-thirds of those who engaged with</w:t>
      </w:r>
      <w:r w:rsidRPr="007D4DDF">
        <w:rPr>
          <w:i/>
          <w:szCs w:val="24"/>
        </w:rPr>
        <w:t xml:space="preserve"> </w:t>
      </w:r>
      <w:r w:rsidRPr="007D4DDF">
        <w:rPr>
          <w:szCs w:val="24"/>
        </w:rPr>
        <w:t xml:space="preserve">GIP Charente </w:t>
      </w:r>
      <w:proofErr w:type="spellStart"/>
      <w:r w:rsidRPr="007D4DDF">
        <w:rPr>
          <w:szCs w:val="24"/>
        </w:rPr>
        <w:t>Solidarités</w:t>
      </w:r>
      <w:proofErr w:type="spellEnd"/>
      <w:r w:rsidRPr="007D4DDF">
        <w:rPr>
          <w:szCs w:val="24"/>
        </w:rPr>
        <w:t xml:space="preserve"> found a concrete housing solution to the eviction process. In Ireland, a tenancy protection service operated by </w:t>
      </w:r>
      <w:r w:rsidR="0084460E" w:rsidRPr="007D4DDF">
        <w:rPr>
          <w:szCs w:val="24"/>
        </w:rPr>
        <w:t xml:space="preserve">the </w:t>
      </w:r>
      <w:r w:rsidRPr="007D4DDF">
        <w:rPr>
          <w:szCs w:val="24"/>
        </w:rPr>
        <w:t xml:space="preserve">Threshold housing advice </w:t>
      </w:r>
      <w:r w:rsidR="00A30391" w:rsidRPr="007D4DDF">
        <w:rPr>
          <w:szCs w:val="24"/>
        </w:rPr>
        <w:t>agency renegotiates</w:t>
      </w:r>
      <w:r w:rsidRPr="007D4DDF">
        <w:rPr>
          <w:szCs w:val="24"/>
        </w:rPr>
        <w:t xml:space="preserve"> rents and levels of assistance to ensure continued occupation of tenants at risk of eviction</w:t>
      </w:r>
      <w:r w:rsidR="0084460E" w:rsidRPr="007D4DDF">
        <w:rPr>
          <w:szCs w:val="24"/>
        </w:rPr>
        <w:t>,</w:t>
      </w:r>
      <w:r w:rsidRPr="007D4DDF">
        <w:rPr>
          <w:szCs w:val="24"/>
        </w:rPr>
        <w:t xml:space="preserve"> and a tenancy protection service operated by Focus Ireland, a housing NGO, are examples of good practice. Another example is the provision that a landlord cannot </w:t>
      </w:r>
      <w:r w:rsidR="009134ED" w:rsidRPr="007D4DDF">
        <w:rPr>
          <w:szCs w:val="24"/>
        </w:rPr>
        <w:t>penali</w:t>
      </w:r>
      <w:r w:rsidR="009134ED">
        <w:rPr>
          <w:szCs w:val="24"/>
        </w:rPr>
        <w:t>z</w:t>
      </w:r>
      <w:r w:rsidR="009134ED" w:rsidRPr="007D4DDF">
        <w:rPr>
          <w:szCs w:val="24"/>
        </w:rPr>
        <w:t xml:space="preserve">e </w:t>
      </w:r>
      <w:r w:rsidRPr="007D4DDF">
        <w:rPr>
          <w:szCs w:val="24"/>
        </w:rPr>
        <w:t xml:space="preserve">a tenant for referring a dispute, including a threatened eviction, to the </w:t>
      </w:r>
      <w:r w:rsidR="00C34CEE">
        <w:rPr>
          <w:szCs w:val="24"/>
        </w:rPr>
        <w:t xml:space="preserve">State </w:t>
      </w:r>
      <w:r w:rsidRPr="007D4DDF">
        <w:rPr>
          <w:szCs w:val="24"/>
        </w:rPr>
        <w:t>Residential Tenancies Board.</w:t>
      </w:r>
    </w:p>
    <w:p w14:paraId="2A5900FD" w14:textId="77777777" w:rsidR="001A4592" w:rsidRPr="007D4DDF" w:rsidRDefault="00196196" w:rsidP="00777703">
      <w:pPr>
        <w:spacing w:before="0" w:after="120" w:line="240" w:lineRule="auto"/>
        <w:rPr>
          <w:szCs w:val="24"/>
        </w:rPr>
      </w:pPr>
      <w:r w:rsidRPr="007D4DDF">
        <w:rPr>
          <w:szCs w:val="24"/>
        </w:rPr>
        <w:t>There are special protections available in Poland for vulnerable groups of tenants such as pregnant women, minors, persons with disabilities and the unemployed, who must be provided with alternative accommodation in the event of eviction</w:t>
      </w:r>
      <w:r w:rsidR="0084460E" w:rsidRPr="007D4DDF">
        <w:rPr>
          <w:szCs w:val="24"/>
        </w:rPr>
        <w:t>,</w:t>
      </w:r>
      <w:r w:rsidRPr="007D4DDF">
        <w:rPr>
          <w:szCs w:val="24"/>
        </w:rPr>
        <w:t xml:space="preserve"> and this applies to some </w:t>
      </w:r>
      <w:r w:rsidR="00A30391" w:rsidRPr="007D4DDF">
        <w:rPr>
          <w:szCs w:val="24"/>
        </w:rPr>
        <w:t>6</w:t>
      </w:r>
      <w:r w:rsidR="00A8429F" w:rsidRPr="007D4DDF">
        <w:rPr>
          <w:szCs w:val="24"/>
        </w:rPr>
        <w:t>0</w:t>
      </w:r>
      <w:r w:rsidR="00A30391" w:rsidRPr="007D4DDF">
        <w:rPr>
          <w:szCs w:val="24"/>
        </w:rPr>
        <w:t>–6</w:t>
      </w:r>
      <w:r w:rsidRPr="007D4DDF">
        <w:rPr>
          <w:szCs w:val="24"/>
        </w:rPr>
        <w:t>5 per cent</w:t>
      </w:r>
      <w:r w:rsidR="00A30391" w:rsidRPr="007D4DDF">
        <w:rPr>
          <w:szCs w:val="24"/>
        </w:rPr>
        <w:t xml:space="preserve"> </w:t>
      </w:r>
      <w:r w:rsidRPr="007D4DDF">
        <w:rPr>
          <w:szCs w:val="24"/>
        </w:rPr>
        <w:t xml:space="preserve">of cases. Other groups of tenants can be evicted, </w:t>
      </w:r>
      <w:r w:rsidR="00A13713" w:rsidRPr="007D4DDF">
        <w:rPr>
          <w:szCs w:val="24"/>
        </w:rPr>
        <w:t xml:space="preserve">but </w:t>
      </w:r>
      <w:r w:rsidRPr="007D4DDF">
        <w:rPr>
          <w:szCs w:val="24"/>
        </w:rPr>
        <w:t xml:space="preserve">the court will examine </w:t>
      </w:r>
      <w:r w:rsidRPr="007D4DDF">
        <w:rPr>
          <w:i/>
          <w:szCs w:val="24"/>
        </w:rPr>
        <w:t>ex officio</w:t>
      </w:r>
      <w:r w:rsidRPr="007D4DDF">
        <w:rPr>
          <w:szCs w:val="24"/>
        </w:rPr>
        <w:t xml:space="preserve"> whether special conditions exist which require alternative social housing. Witold </w:t>
      </w:r>
      <w:proofErr w:type="spellStart"/>
      <w:r w:rsidRPr="007D4DDF">
        <w:rPr>
          <w:szCs w:val="24"/>
        </w:rPr>
        <w:t>Borysiak</w:t>
      </w:r>
      <w:proofErr w:type="spellEnd"/>
      <w:r w:rsidRPr="007D4DDF">
        <w:rPr>
          <w:szCs w:val="24"/>
        </w:rPr>
        <w:t xml:space="preserve"> points out that there may be a delay of </w:t>
      </w:r>
      <w:r w:rsidR="0084460E" w:rsidRPr="007D4DDF">
        <w:rPr>
          <w:szCs w:val="24"/>
        </w:rPr>
        <w:t>two to four</w:t>
      </w:r>
      <w:r w:rsidRPr="007D4DDF">
        <w:rPr>
          <w:szCs w:val="24"/>
        </w:rPr>
        <w:t xml:space="preserve"> years in the provision of such housing and that no eviction can take place in the meantime. Other best practices include the protection of tenants from excessive rent increases and other fees, as specified in Polish legislation dating from 2001.</w:t>
      </w:r>
    </w:p>
    <w:p w14:paraId="3387C3E6" w14:textId="77777777" w:rsidR="001A4592" w:rsidRPr="007D4DDF" w:rsidRDefault="00196196" w:rsidP="00777703">
      <w:pPr>
        <w:spacing w:before="0" w:after="120" w:line="240" w:lineRule="auto"/>
        <w:rPr>
          <w:color w:val="212121"/>
          <w:szCs w:val="24"/>
        </w:rPr>
      </w:pPr>
      <w:proofErr w:type="spellStart"/>
      <w:r w:rsidRPr="007D4DDF">
        <w:rPr>
          <w:szCs w:val="24"/>
        </w:rPr>
        <w:t>Maša</w:t>
      </w:r>
      <w:proofErr w:type="spellEnd"/>
      <w:r w:rsidRPr="007D4DDF">
        <w:rPr>
          <w:szCs w:val="24"/>
        </w:rPr>
        <w:t xml:space="preserve"> </w:t>
      </w:r>
      <w:proofErr w:type="spellStart"/>
      <w:r w:rsidRPr="007D4DDF">
        <w:rPr>
          <w:szCs w:val="24"/>
        </w:rPr>
        <w:t>Filipovič</w:t>
      </w:r>
      <w:proofErr w:type="spellEnd"/>
      <w:r w:rsidRPr="007D4DDF">
        <w:rPr>
          <w:szCs w:val="24"/>
        </w:rPr>
        <w:t xml:space="preserve"> </w:t>
      </w:r>
      <w:proofErr w:type="spellStart"/>
      <w:r w:rsidRPr="007D4DDF">
        <w:rPr>
          <w:szCs w:val="24"/>
        </w:rPr>
        <w:t>Hrast</w:t>
      </w:r>
      <w:proofErr w:type="spellEnd"/>
      <w:r w:rsidRPr="007D4DDF">
        <w:rPr>
          <w:szCs w:val="24"/>
        </w:rPr>
        <w:t xml:space="preserve"> highlights</w:t>
      </w:r>
      <w:r w:rsidR="0084460E" w:rsidRPr="007D4DDF">
        <w:rPr>
          <w:szCs w:val="24"/>
        </w:rPr>
        <w:t xml:space="preserve"> that i</w:t>
      </w:r>
      <w:r w:rsidRPr="007D4DDF">
        <w:rPr>
          <w:szCs w:val="24"/>
        </w:rPr>
        <w:t>n Slovenia</w:t>
      </w:r>
      <w:r w:rsidR="0084460E" w:rsidRPr="007D4DDF">
        <w:rPr>
          <w:szCs w:val="24"/>
        </w:rPr>
        <w:t>,</w:t>
      </w:r>
      <w:r w:rsidRPr="007D4DDF">
        <w:rPr>
          <w:szCs w:val="24"/>
        </w:rPr>
        <w:t xml:space="preserve"> while free legal aid is inaccessible to vulnerable people at risk of eviction</w:t>
      </w:r>
      <w:r w:rsidR="00B96878" w:rsidRPr="007D4DDF">
        <w:rPr>
          <w:szCs w:val="24"/>
        </w:rPr>
        <w:t>;</w:t>
      </w:r>
      <w:r w:rsidRPr="007D4DDF">
        <w:rPr>
          <w:szCs w:val="24"/>
        </w:rPr>
        <w:t xml:space="preserve"> social tenants are protected from eviction under 2003</w:t>
      </w:r>
      <w:r w:rsidR="0084460E" w:rsidRPr="007D4DDF">
        <w:rPr>
          <w:szCs w:val="24"/>
        </w:rPr>
        <w:t xml:space="preserve"> </w:t>
      </w:r>
      <w:r w:rsidRPr="007D4DDF">
        <w:rPr>
          <w:szCs w:val="24"/>
        </w:rPr>
        <w:t xml:space="preserve">legislation in cases of a death in the family, unforeseen loss of employment, serious illness and other factors. </w:t>
      </w:r>
      <w:r w:rsidRPr="007D4DDF">
        <w:rPr>
          <w:rFonts w:eastAsia="Calibri"/>
          <w:iCs/>
          <w:szCs w:val="24"/>
        </w:rPr>
        <w:t xml:space="preserve">In Germany, </w:t>
      </w:r>
      <w:r w:rsidRPr="007D4DDF">
        <w:rPr>
          <w:color w:val="212121"/>
          <w:szCs w:val="24"/>
        </w:rPr>
        <w:t xml:space="preserve">pursuant to </w:t>
      </w:r>
      <w:r w:rsidRPr="007D4DDF">
        <w:rPr>
          <w:szCs w:val="24"/>
        </w:rPr>
        <w:t xml:space="preserve">Article 721 </w:t>
      </w:r>
      <w:proofErr w:type="spellStart"/>
      <w:r w:rsidR="00662F89" w:rsidRPr="00AF3ACC">
        <w:rPr>
          <w:i/>
          <w:szCs w:val="24"/>
        </w:rPr>
        <w:t>Zivilprozessordnung</w:t>
      </w:r>
      <w:proofErr w:type="spellEnd"/>
      <w:r w:rsidR="00662F89" w:rsidRPr="007D4DDF">
        <w:rPr>
          <w:szCs w:val="24"/>
        </w:rPr>
        <w:t xml:space="preserve"> (</w:t>
      </w:r>
      <w:r w:rsidRPr="007D4DDF">
        <w:rPr>
          <w:szCs w:val="24"/>
        </w:rPr>
        <w:t>ZPO</w:t>
      </w:r>
      <w:r w:rsidR="00662F89" w:rsidRPr="007D4DDF">
        <w:rPr>
          <w:szCs w:val="24"/>
        </w:rPr>
        <w:t>)</w:t>
      </w:r>
      <w:r w:rsidRPr="007D4DDF">
        <w:rPr>
          <w:szCs w:val="24"/>
        </w:rPr>
        <w:t xml:space="preserve">, the court may, </w:t>
      </w:r>
      <w:r w:rsidRPr="007D4DDF">
        <w:rPr>
          <w:i/>
          <w:szCs w:val="24"/>
        </w:rPr>
        <w:t>ex officio</w:t>
      </w:r>
      <w:r w:rsidRPr="007D4DDF">
        <w:rPr>
          <w:szCs w:val="24"/>
        </w:rPr>
        <w:t xml:space="preserve"> or upon a request, grant to the debtor a reasonable period to vacate premises</w:t>
      </w:r>
      <w:r w:rsidR="00C34CEE">
        <w:rPr>
          <w:szCs w:val="24"/>
        </w:rPr>
        <w:t xml:space="preserve"> (</w:t>
      </w:r>
      <w:r w:rsidRPr="007D4DDF">
        <w:rPr>
          <w:szCs w:val="24"/>
        </w:rPr>
        <w:t>up to twelve months</w:t>
      </w:r>
      <w:r w:rsidR="00C34CEE">
        <w:rPr>
          <w:szCs w:val="24"/>
        </w:rPr>
        <w:t>)</w:t>
      </w:r>
      <w:r w:rsidRPr="007D4DDF">
        <w:rPr>
          <w:szCs w:val="24"/>
        </w:rPr>
        <w:t xml:space="preserve">, taking into account all relevant circumstances. According to Article 765a (1) ZPO, the eviction </w:t>
      </w:r>
      <w:r w:rsidRPr="007D4DDF">
        <w:rPr>
          <w:szCs w:val="24"/>
        </w:rPr>
        <w:lastRenderedPageBreak/>
        <w:t xml:space="preserve">may be suspended if </w:t>
      </w:r>
      <w:r w:rsidR="00B96878" w:rsidRPr="007D4DDF">
        <w:rPr>
          <w:szCs w:val="24"/>
        </w:rPr>
        <w:t>‘</w:t>
      </w:r>
      <w:r w:rsidRPr="007D4DDF">
        <w:rPr>
          <w:szCs w:val="24"/>
        </w:rPr>
        <w:t>the measure entails a hardship that due to very special circumstances is immoral (</w:t>
      </w:r>
      <w:r w:rsidRPr="007D4DDF">
        <w:rPr>
          <w:i/>
          <w:szCs w:val="24"/>
        </w:rPr>
        <w:t xml:space="preserve">contra </w:t>
      </w:r>
      <w:proofErr w:type="spellStart"/>
      <w:r w:rsidRPr="007D4DDF">
        <w:rPr>
          <w:i/>
          <w:szCs w:val="24"/>
        </w:rPr>
        <w:t>bon</w:t>
      </w:r>
      <w:r w:rsidR="00D44D5C" w:rsidRPr="007D4DDF">
        <w:rPr>
          <w:i/>
          <w:szCs w:val="24"/>
        </w:rPr>
        <w:t>o</w:t>
      </w:r>
      <w:r w:rsidRPr="007D4DDF">
        <w:rPr>
          <w:i/>
          <w:szCs w:val="24"/>
        </w:rPr>
        <w:t>s</w:t>
      </w:r>
      <w:proofErr w:type="spellEnd"/>
      <w:r w:rsidRPr="007D4DDF">
        <w:rPr>
          <w:i/>
          <w:szCs w:val="24"/>
        </w:rPr>
        <w:t xml:space="preserve"> mores</w:t>
      </w:r>
      <w:r w:rsidRPr="007D4DDF">
        <w:rPr>
          <w:szCs w:val="24"/>
        </w:rPr>
        <w:t>)</w:t>
      </w:r>
      <w:r w:rsidR="00B96878" w:rsidRPr="007D4DDF">
        <w:rPr>
          <w:szCs w:val="24"/>
        </w:rPr>
        <w:t>’</w:t>
      </w:r>
      <w:r w:rsidR="009F2300" w:rsidRPr="007D4DDF">
        <w:rPr>
          <w:szCs w:val="24"/>
        </w:rPr>
        <w:t>.</w:t>
      </w:r>
      <w:r w:rsidRPr="007D4DDF">
        <w:rPr>
          <w:rStyle w:val="Funotenzeichen5"/>
          <w:color w:val="212121"/>
          <w:szCs w:val="24"/>
        </w:rPr>
        <w:footnoteReference w:id="54"/>
      </w:r>
    </w:p>
    <w:p w14:paraId="7A732E29" w14:textId="77777777" w:rsidR="001A4592" w:rsidRPr="007D4DDF" w:rsidRDefault="00196196" w:rsidP="00777703">
      <w:pPr>
        <w:spacing w:before="0" w:after="120" w:line="240" w:lineRule="auto"/>
        <w:rPr>
          <w:szCs w:val="24"/>
        </w:rPr>
      </w:pPr>
      <w:r w:rsidRPr="007D4DDF">
        <w:rPr>
          <w:szCs w:val="24"/>
        </w:rPr>
        <w:t xml:space="preserve">Best practices in Spain, as described by Sergio </w:t>
      </w:r>
      <w:proofErr w:type="spellStart"/>
      <w:r w:rsidRPr="007D4DDF">
        <w:rPr>
          <w:szCs w:val="24"/>
        </w:rPr>
        <w:t>Nasarre</w:t>
      </w:r>
      <w:proofErr w:type="spellEnd"/>
      <w:r w:rsidR="00112951" w:rsidRPr="007D4DDF">
        <w:rPr>
          <w:szCs w:val="24"/>
        </w:rPr>
        <w:t>-</w:t>
      </w:r>
      <w:r w:rsidRPr="007D4DDF">
        <w:rPr>
          <w:szCs w:val="24"/>
        </w:rPr>
        <w:t xml:space="preserve">Aznar and Rosa Maria Garcia </w:t>
      </w:r>
      <w:proofErr w:type="spellStart"/>
      <w:r w:rsidRPr="007D4DDF">
        <w:rPr>
          <w:szCs w:val="24"/>
        </w:rPr>
        <w:t>Teruel</w:t>
      </w:r>
      <w:proofErr w:type="spellEnd"/>
      <w:r w:rsidRPr="007D4DDF">
        <w:rPr>
          <w:szCs w:val="24"/>
        </w:rPr>
        <w:t>, include moratoria on evictions and codes of good practice for lenders. The</w:t>
      </w:r>
      <w:r w:rsidR="00C34CEE">
        <w:rPr>
          <w:szCs w:val="24"/>
        </w:rPr>
        <w:t xml:space="preserve">se include </w:t>
      </w:r>
      <w:r w:rsidRPr="007D4DDF">
        <w:rPr>
          <w:szCs w:val="24"/>
        </w:rPr>
        <w:t xml:space="preserve">new insolvency measures allowing a </w:t>
      </w:r>
      <w:r w:rsidR="00C34CEE">
        <w:rPr>
          <w:szCs w:val="24"/>
        </w:rPr>
        <w:t>‘</w:t>
      </w:r>
      <w:r w:rsidRPr="007D4DDF">
        <w:rPr>
          <w:szCs w:val="24"/>
        </w:rPr>
        <w:t>fresh start</w:t>
      </w:r>
      <w:r w:rsidR="00C34CEE">
        <w:rPr>
          <w:szCs w:val="24"/>
        </w:rPr>
        <w:t>’</w:t>
      </w:r>
      <w:r w:rsidRPr="007D4DDF">
        <w:rPr>
          <w:szCs w:val="24"/>
        </w:rPr>
        <w:t>, measures to facilitate separating parents, a social fund of dwellings, assistance by the authorities with securing a new dwelling, and judicial discretion allowing more time before evictions.</w:t>
      </w:r>
    </w:p>
    <w:p w14:paraId="2FBED268" w14:textId="77777777" w:rsidR="001A4592" w:rsidRPr="007D4DDF" w:rsidRDefault="00196196" w:rsidP="00777703">
      <w:pPr>
        <w:spacing w:before="0" w:after="120" w:line="240" w:lineRule="auto"/>
        <w:rPr>
          <w:szCs w:val="24"/>
        </w:rPr>
      </w:pPr>
      <w:r w:rsidRPr="007D4DDF">
        <w:rPr>
          <w:szCs w:val="24"/>
        </w:rPr>
        <w:t xml:space="preserve">In the UK, as described by Caroline Hunter and Nicholas </w:t>
      </w:r>
      <w:proofErr w:type="spellStart"/>
      <w:r w:rsidRPr="007D4DDF">
        <w:rPr>
          <w:szCs w:val="24"/>
        </w:rPr>
        <w:t>Pleace</w:t>
      </w:r>
      <w:proofErr w:type="spellEnd"/>
      <w:r w:rsidRPr="007D4DDF">
        <w:rPr>
          <w:szCs w:val="24"/>
        </w:rPr>
        <w:t xml:space="preserve">, legal advice and support is available </w:t>
      </w:r>
      <w:r w:rsidR="007F1200" w:rsidRPr="007D4DDF">
        <w:rPr>
          <w:szCs w:val="24"/>
        </w:rPr>
        <w:t xml:space="preserve">from a range of agencies </w:t>
      </w:r>
      <w:r w:rsidRPr="007D4DDF">
        <w:rPr>
          <w:szCs w:val="24"/>
        </w:rPr>
        <w:t xml:space="preserve">for tenants at risk of eviction, along with mediation services and </w:t>
      </w:r>
      <w:r w:rsidR="00E6787F" w:rsidRPr="007D4DDF">
        <w:rPr>
          <w:szCs w:val="24"/>
        </w:rPr>
        <w:t>tenancy-</w:t>
      </w:r>
      <w:r w:rsidRPr="007D4DDF">
        <w:rPr>
          <w:szCs w:val="24"/>
        </w:rPr>
        <w:t>sustainment teams in social housing. Legislation obliges local authorities to provide access to temporary rehousing for homeless people with a priority need and a local connection. There is also a network of court duty schemes where</w:t>
      </w:r>
      <w:r w:rsidR="00E6787F" w:rsidRPr="007D4DDF">
        <w:rPr>
          <w:szCs w:val="24"/>
        </w:rPr>
        <w:t>by</w:t>
      </w:r>
      <w:r w:rsidRPr="007D4DDF">
        <w:rPr>
          <w:szCs w:val="24"/>
        </w:rPr>
        <w:t xml:space="preserve"> anyone facing possession proceedings can get free legal advice and representation. In Ireland, the </w:t>
      </w:r>
      <w:proofErr w:type="spellStart"/>
      <w:r w:rsidRPr="00AF3ACC">
        <w:rPr>
          <w:i/>
          <w:szCs w:val="24"/>
        </w:rPr>
        <w:t>Abhaile</w:t>
      </w:r>
      <w:proofErr w:type="spellEnd"/>
      <w:r w:rsidRPr="007D4DDF">
        <w:rPr>
          <w:szCs w:val="24"/>
        </w:rPr>
        <w:t xml:space="preserve"> scheme (which is attached to the </w:t>
      </w:r>
      <w:r w:rsidR="0000263C" w:rsidRPr="007D4DDF">
        <w:rPr>
          <w:szCs w:val="24"/>
        </w:rPr>
        <w:t>state</w:t>
      </w:r>
      <w:r w:rsidRPr="007D4DDF">
        <w:rPr>
          <w:szCs w:val="24"/>
        </w:rPr>
        <w:t xml:space="preserve"> Money Advice and </w:t>
      </w:r>
      <w:r w:rsidR="00A30391" w:rsidRPr="007D4DDF">
        <w:rPr>
          <w:szCs w:val="24"/>
        </w:rPr>
        <w:t>Budgeting</w:t>
      </w:r>
      <w:r w:rsidRPr="007D4DDF">
        <w:rPr>
          <w:szCs w:val="24"/>
        </w:rPr>
        <w:t xml:space="preserve"> Service</w:t>
      </w:r>
      <w:r w:rsidR="00D94EE2" w:rsidRPr="007D4DDF">
        <w:rPr>
          <w:szCs w:val="24"/>
        </w:rPr>
        <w:t>)</w:t>
      </w:r>
      <w:r w:rsidRPr="007D4DDF">
        <w:rPr>
          <w:szCs w:val="24"/>
        </w:rPr>
        <w:t xml:space="preserve"> provides for a consultation with a solicitor in mortgage possession cases, although this does not actually cover legal representation. The Human Rights Ombudsman in Slovenia has argued for changes in legislation regarding the principle of proportionality in cases of eviction.</w:t>
      </w:r>
    </w:p>
    <w:p w14:paraId="469AAED5" w14:textId="77777777" w:rsidR="001A4592" w:rsidRPr="007D4DDF" w:rsidRDefault="00A13713" w:rsidP="00777703">
      <w:pPr>
        <w:pStyle w:val="NormalWeb"/>
        <w:spacing w:before="0" w:beforeAutospacing="0" w:after="120" w:afterAutospacing="0" w:line="240" w:lineRule="auto"/>
        <w:rPr>
          <w:rFonts w:ascii="Times New Roman" w:hAnsi="Times New Roman"/>
          <w:sz w:val="24"/>
          <w:szCs w:val="24"/>
          <w:lang w:val="en-GB"/>
        </w:rPr>
      </w:pPr>
      <w:r w:rsidRPr="007D4DDF">
        <w:rPr>
          <w:rFonts w:ascii="Times New Roman" w:hAnsi="Times New Roman"/>
          <w:color w:val="000000"/>
          <w:sz w:val="24"/>
          <w:szCs w:val="24"/>
          <w:lang w:val="en-GB"/>
        </w:rPr>
        <w:t xml:space="preserve">In addition to the moratoria on eviction in winter in France, Hungary, Poland and the </w:t>
      </w:r>
      <w:r w:rsidR="00E6787F" w:rsidRPr="007D4DDF">
        <w:rPr>
          <w:rFonts w:ascii="Times New Roman" w:hAnsi="Times New Roman"/>
          <w:color w:val="000000"/>
          <w:sz w:val="24"/>
          <w:szCs w:val="24"/>
          <w:lang w:val="en-GB"/>
        </w:rPr>
        <w:t xml:space="preserve">northern </w:t>
      </w:r>
      <w:r w:rsidRPr="007D4DDF">
        <w:rPr>
          <w:rFonts w:ascii="Times New Roman" w:hAnsi="Times New Roman"/>
          <w:color w:val="000000"/>
          <w:sz w:val="24"/>
          <w:szCs w:val="24"/>
          <w:lang w:val="en-GB"/>
        </w:rPr>
        <w:t>Italian cities, moratoria on evictions have been introduced in Italy and Spain.</w:t>
      </w:r>
      <w:r w:rsidRPr="007D4DDF">
        <w:rPr>
          <w:rStyle w:val="FootnoteReference"/>
          <w:rFonts w:ascii="Times New Roman" w:hAnsi="Times New Roman"/>
          <w:color w:val="000000"/>
          <w:sz w:val="24"/>
          <w:szCs w:val="24"/>
          <w:lang w:val="en-GB"/>
        </w:rPr>
        <w:footnoteReference w:id="55"/>
      </w:r>
      <w:r w:rsidRPr="007D4DDF">
        <w:rPr>
          <w:rFonts w:ascii="Times New Roman" w:hAnsi="Times New Roman"/>
          <w:color w:val="000000"/>
          <w:sz w:val="24"/>
          <w:szCs w:val="24"/>
          <w:lang w:val="en-GB"/>
        </w:rPr>
        <w:t xml:space="preserve"> </w:t>
      </w:r>
      <w:r w:rsidRPr="007D4DDF">
        <w:rPr>
          <w:rFonts w:ascii="Times New Roman" w:hAnsi="Times New Roman"/>
          <w:sz w:val="24"/>
          <w:szCs w:val="24"/>
          <w:lang w:val="en-GB"/>
        </w:rPr>
        <w:t>Italian legislation in 2013 provided a moratorium on evictions in the private rented sector in cases arising from unemployment, reduction in working hours, economic hardship or health issues. Spanish legislation in 2012 provided for a mortgage possession moratorium until 2020, but this is</w:t>
      </w:r>
      <w:r w:rsidR="00E6787F" w:rsidRPr="007D4DDF">
        <w:rPr>
          <w:rFonts w:ascii="Times New Roman" w:hAnsi="Times New Roman"/>
          <w:sz w:val="24"/>
          <w:szCs w:val="24"/>
          <w:lang w:val="en-GB"/>
        </w:rPr>
        <w:t>,</w:t>
      </w:r>
      <w:r w:rsidRPr="007D4DDF">
        <w:rPr>
          <w:rFonts w:ascii="Times New Roman" w:hAnsi="Times New Roman"/>
          <w:sz w:val="24"/>
          <w:szCs w:val="24"/>
          <w:lang w:val="en-GB"/>
        </w:rPr>
        <w:t xml:space="preserve"> however, quite limited (</w:t>
      </w:r>
      <w:r w:rsidR="00C34CEE">
        <w:rPr>
          <w:rFonts w:ascii="Times New Roman" w:hAnsi="Times New Roman"/>
          <w:sz w:val="24"/>
          <w:szCs w:val="24"/>
          <w:lang w:val="en-GB"/>
        </w:rPr>
        <w:t xml:space="preserve">covering </w:t>
      </w:r>
      <w:r w:rsidRPr="007D4DDF">
        <w:rPr>
          <w:rFonts w:ascii="Times New Roman" w:hAnsi="Times New Roman"/>
          <w:sz w:val="24"/>
          <w:szCs w:val="24"/>
          <w:lang w:val="en-GB"/>
        </w:rPr>
        <w:t xml:space="preserve">around 2000 </w:t>
      </w:r>
      <w:r w:rsidR="00C34CEE">
        <w:rPr>
          <w:rFonts w:ascii="Times New Roman" w:hAnsi="Times New Roman"/>
          <w:sz w:val="24"/>
          <w:szCs w:val="24"/>
          <w:lang w:val="en-GB"/>
        </w:rPr>
        <w:t xml:space="preserve">cases </w:t>
      </w:r>
      <w:r w:rsidRPr="007D4DDF">
        <w:rPr>
          <w:rFonts w:ascii="Times New Roman" w:hAnsi="Times New Roman"/>
          <w:sz w:val="24"/>
          <w:szCs w:val="24"/>
          <w:lang w:val="en-GB"/>
        </w:rPr>
        <w:t xml:space="preserve">in 2017). </w:t>
      </w:r>
    </w:p>
    <w:p w14:paraId="3731ED0F" w14:textId="77777777" w:rsidR="001A4592" w:rsidRPr="007D4DDF" w:rsidRDefault="00196196" w:rsidP="00777703">
      <w:pPr>
        <w:spacing w:before="0" w:after="120" w:line="240" w:lineRule="auto"/>
        <w:rPr>
          <w:szCs w:val="24"/>
        </w:rPr>
      </w:pPr>
      <w:r w:rsidRPr="007D4DDF">
        <w:rPr>
          <w:szCs w:val="24"/>
        </w:rPr>
        <w:t xml:space="preserve">Michel Vols draws on research which shows </w:t>
      </w:r>
      <w:r w:rsidR="00E6787F" w:rsidRPr="007D4DDF">
        <w:rPr>
          <w:szCs w:val="24"/>
        </w:rPr>
        <w:t xml:space="preserve">that </w:t>
      </w:r>
      <w:r w:rsidRPr="007D4DDF">
        <w:rPr>
          <w:szCs w:val="24"/>
        </w:rPr>
        <w:t xml:space="preserve">in </w:t>
      </w:r>
      <w:r w:rsidR="008D20C6" w:rsidRPr="007D4DDF">
        <w:rPr>
          <w:szCs w:val="24"/>
        </w:rPr>
        <w:t>t</w:t>
      </w:r>
      <w:r w:rsidRPr="007D4DDF">
        <w:rPr>
          <w:szCs w:val="24"/>
        </w:rPr>
        <w:t>he Netherlands</w:t>
      </w:r>
      <w:r w:rsidR="002B15E9" w:rsidRPr="007D4DDF">
        <w:rPr>
          <w:szCs w:val="24"/>
        </w:rPr>
        <w:t>,</w:t>
      </w:r>
      <w:r w:rsidR="00A13713" w:rsidRPr="007D4DDF">
        <w:rPr>
          <w:szCs w:val="24"/>
        </w:rPr>
        <w:t xml:space="preserve"> </w:t>
      </w:r>
      <w:r w:rsidRPr="007D4DDF">
        <w:rPr>
          <w:szCs w:val="24"/>
        </w:rPr>
        <w:t xml:space="preserve">combinations of personal and circumstantial factors which create risk of eviction can be addressed </w:t>
      </w:r>
      <w:r w:rsidR="00E6787F" w:rsidRPr="007D4DDF">
        <w:rPr>
          <w:szCs w:val="24"/>
        </w:rPr>
        <w:t xml:space="preserve">only </w:t>
      </w:r>
      <w:r w:rsidRPr="007D4DDF">
        <w:rPr>
          <w:szCs w:val="24"/>
        </w:rPr>
        <w:t xml:space="preserve">through </w:t>
      </w:r>
      <w:r w:rsidR="009134ED" w:rsidRPr="007D4DDF">
        <w:rPr>
          <w:szCs w:val="24"/>
        </w:rPr>
        <w:t>individuali</w:t>
      </w:r>
      <w:r w:rsidR="009134ED">
        <w:rPr>
          <w:szCs w:val="24"/>
        </w:rPr>
        <w:t>z</w:t>
      </w:r>
      <w:r w:rsidR="009134ED" w:rsidRPr="007D4DDF">
        <w:rPr>
          <w:szCs w:val="24"/>
        </w:rPr>
        <w:t xml:space="preserve">ed </w:t>
      </w:r>
      <w:r w:rsidRPr="007D4DDF">
        <w:rPr>
          <w:szCs w:val="24"/>
        </w:rPr>
        <w:t>and tailor-made approaches to effectively prevent evictions.</w:t>
      </w:r>
      <w:r w:rsidRPr="007D4DDF">
        <w:rPr>
          <w:rStyle w:val="FootnoteReference"/>
          <w:szCs w:val="24"/>
        </w:rPr>
        <w:footnoteReference w:id="56"/>
      </w:r>
      <w:r w:rsidRPr="007D4DDF">
        <w:rPr>
          <w:szCs w:val="24"/>
        </w:rPr>
        <w:t xml:space="preserve"> Research in 2015 </w:t>
      </w:r>
      <w:r w:rsidR="00A13713" w:rsidRPr="007D4DDF">
        <w:rPr>
          <w:szCs w:val="24"/>
        </w:rPr>
        <w:t xml:space="preserve">highlights that </w:t>
      </w:r>
      <w:r w:rsidRPr="007D4DDF">
        <w:rPr>
          <w:szCs w:val="24"/>
        </w:rPr>
        <w:t xml:space="preserve">debt advice, monitoring, agreements between housing agencies and debt support </w:t>
      </w:r>
      <w:r w:rsidR="007D4DDF" w:rsidRPr="007D4DDF">
        <w:rPr>
          <w:szCs w:val="24"/>
        </w:rPr>
        <w:t>organi</w:t>
      </w:r>
      <w:r w:rsidR="007D4DDF">
        <w:rPr>
          <w:szCs w:val="24"/>
        </w:rPr>
        <w:t>z</w:t>
      </w:r>
      <w:r w:rsidR="007D4DDF" w:rsidRPr="007D4DDF">
        <w:rPr>
          <w:szCs w:val="24"/>
        </w:rPr>
        <w:t>ations</w:t>
      </w:r>
      <w:r w:rsidR="0017688D" w:rsidRPr="007D4DDF">
        <w:rPr>
          <w:szCs w:val="24"/>
        </w:rPr>
        <w:t>,</w:t>
      </w:r>
      <w:r w:rsidRPr="007D4DDF">
        <w:rPr>
          <w:szCs w:val="24"/>
        </w:rPr>
        <w:t xml:space="preserve"> and community mental health networks that respond to vulnerability of households, </w:t>
      </w:r>
      <w:r w:rsidR="00C34CEE">
        <w:rPr>
          <w:szCs w:val="24"/>
        </w:rPr>
        <w:t xml:space="preserve">proved to be </w:t>
      </w:r>
      <w:r w:rsidRPr="007D4DDF">
        <w:rPr>
          <w:szCs w:val="24"/>
        </w:rPr>
        <w:t>valuable interventions to prevent evictions.</w:t>
      </w:r>
      <w:r w:rsidR="00A13713" w:rsidRPr="007D4DDF">
        <w:rPr>
          <w:rStyle w:val="FootnoteReference"/>
          <w:szCs w:val="24"/>
        </w:rPr>
        <w:footnoteReference w:id="57"/>
      </w:r>
    </w:p>
    <w:p w14:paraId="11601D76" w14:textId="77777777" w:rsidR="001A4592" w:rsidRPr="007D4DDF" w:rsidRDefault="00196196" w:rsidP="00777703">
      <w:pPr>
        <w:spacing w:before="0" w:after="120" w:line="240" w:lineRule="auto"/>
        <w:rPr>
          <w:szCs w:val="24"/>
        </w:rPr>
      </w:pPr>
      <w:r w:rsidRPr="007D4DDF">
        <w:rPr>
          <w:szCs w:val="24"/>
        </w:rPr>
        <w:t xml:space="preserve">Of course, rapid rehousing and effective homelessness services are a major part of the policy response to evictions. In Germany, according to </w:t>
      </w:r>
      <w:r w:rsidR="0017688D" w:rsidRPr="007D4DDF">
        <w:rPr>
          <w:szCs w:val="24"/>
        </w:rPr>
        <w:t xml:space="preserve">laws of regional states relating to </w:t>
      </w:r>
      <w:r w:rsidRPr="007D4DDF">
        <w:rPr>
          <w:szCs w:val="24"/>
        </w:rPr>
        <w:t>police, security and regulatory</w:t>
      </w:r>
      <w:r w:rsidR="0017688D" w:rsidRPr="007D4DDF">
        <w:rPr>
          <w:szCs w:val="24"/>
        </w:rPr>
        <w:t xml:space="preserve"> issues,</w:t>
      </w:r>
      <w:r w:rsidRPr="007D4DDF">
        <w:rPr>
          <w:szCs w:val="24"/>
        </w:rPr>
        <w:t xml:space="preserve"> it is a duty of municipalities to provide temporary accommodation for persons who would otherwise be homeless, </w:t>
      </w:r>
      <w:r w:rsidR="00E91471" w:rsidRPr="007D4DDF">
        <w:rPr>
          <w:szCs w:val="24"/>
        </w:rPr>
        <w:t xml:space="preserve">with </w:t>
      </w:r>
      <w:r w:rsidRPr="007D4DDF">
        <w:rPr>
          <w:szCs w:val="24"/>
        </w:rPr>
        <w:t xml:space="preserve">homelessness </w:t>
      </w:r>
      <w:r w:rsidR="00E91471" w:rsidRPr="007D4DDF">
        <w:rPr>
          <w:szCs w:val="24"/>
        </w:rPr>
        <w:t xml:space="preserve">considered </w:t>
      </w:r>
      <w:r w:rsidRPr="007D4DDF">
        <w:rPr>
          <w:szCs w:val="24"/>
        </w:rPr>
        <w:t xml:space="preserve">a serious threat to public safety. In Belgium, rehousing is not guaranteed, although social support agencies can offer assistance including financial </w:t>
      </w:r>
      <w:proofErr w:type="gramStart"/>
      <w:r w:rsidRPr="007D4DDF">
        <w:rPr>
          <w:szCs w:val="24"/>
        </w:rPr>
        <w:t>support,</w:t>
      </w:r>
      <w:r w:rsidR="002B15E9" w:rsidRPr="007D4DDF">
        <w:rPr>
          <w:szCs w:val="24"/>
        </w:rPr>
        <w:t xml:space="preserve"> </w:t>
      </w:r>
      <w:r w:rsidRPr="007D4DDF">
        <w:rPr>
          <w:szCs w:val="24"/>
        </w:rPr>
        <w:t>and</w:t>
      </w:r>
      <w:proofErr w:type="gramEnd"/>
      <w:r w:rsidRPr="007D4DDF">
        <w:rPr>
          <w:szCs w:val="24"/>
        </w:rPr>
        <w:t xml:space="preserve"> are obliged to do so in </w:t>
      </w:r>
      <w:r w:rsidR="00A13713" w:rsidRPr="007D4DDF">
        <w:rPr>
          <w:szCs w:val="24"/>
        </w:rPr>
        <w:t xml:space="preserve">the </w:t>
      </w:r>
      <w:r w:rsidRPr="007D4DDF">
        <w:rPr>
          <w:szCs w:val="24"/>
        </w:rPr>
        <w:t>Brussels and Wallonia Regions.</w:t>
      </w:r>
    </w:p>
    <w:p w14:paraId="2F56F682" w14:textId="77777777" w:rsidR="001A4592" w:rsidRPr="007D4DDF" w:rsidRDefault="00196196" w:rsidP="00777703">
      <w:pPr>
        <w:spacing w:before="0" w:after="120" w:line="240" w:lineRule="auto"/>
        <w:rPr>
          <w:szCs w:val="24"/>
        </w:rPr>
      </w:pPr>
      <w:r w:rsidRPr="007D4DDF">
        <w:rPr>
          <w:szCs w:val="24"/>
        </w:rPr>
        <w:lastRenderedPageBreak/>
        <w:t xml:space="preserve">In Italy, as described by Elena </w:t>
      </w:r>
      <w:proofErr w:type="spellStart"/>
      <w:r w:rsidRPr="007D4DDF">
        <w:rPr>
          <w:szCs w:val="24"/>
        </w:rPr>
        <w:t>Bargelli</w:t>
      </w:r>
      <w:proofErr w:type="spellEnd"/>
      <w:r w:rsidRPr="007D4DDF">
        <w:rPr>
          <w:szCs w:val="24"/>
        </w:rPr>
        <w:t xml:space="preserve"> and </w:t>
      </w:r>
      <w:r w:rsidR="00817C96">
        <w:rPr>
          <w:szCs w:val="24"/>
        </w:rPr>
        <w:t>Giulia</w:t>
      </w:r>
      <w:r w:rsidRPr="007D4DDF">
        <w:rPr>
          <w:szCs w:val="24"/>
        </w:rPr>
        <w:t xml:space="preserve"> </w:t>
      </w:r>
      <w:proofErr w:type="spellStart"/>
      <w:r w:rsidRPr="007D4DDF">
        <w:rPr>
          <w:szCs w:val="24"/>
        </w:rPr>
        <w:t>Donadio</w:t>
      </w:r>
      <w:proofErr w:type="spellEnd"/>
      <w:r w:rsidRPr="007D4DDF">
        <w:rPr>
          <w:szCs w:val="24"/>
        </w:rPr>
        <w:t xml:space="preserve">, there is assistance </w:t>
      </w:r>
      <w:r w:rsidR="00920F3E" w:rsidRPr="007D4DDF">
        <w:rPr>
          <w:szCs w:val="24"/>
        </w:rPr>
        <w:t xml:space="preserve">through social services </w:t>
      </w:r>
      <w:r w:rsidRPr="007D4DDF">
        <w:rPr>
          <w:szCs w:val="24"/>
        </w:rPr>
        <w:t xml:space="preserve">for households </w:t>
      </w:r>
      <w:r w:rsidR="00C8635E" w:rsidRPr="007D4DDF">
        <w:rPr>
          <w:szCs w:val="24"/>
        </w:rPr>
        <w:t xml:space="preserve">that </w:t>
      </w:r>
      <w:r w:rsidRPr="007D4DDF">
        <w:rPr>
          <w:szCs w:val="24"/>
        </w:rPr>
        <w:t>become homeless, although this is limited by available regional and local resources.</w:t>
      </w:r>
    </w:p>
    <w:p w14:paraId="363BAD5F" w14:textId="77777777" w:rsidR="00A30391" w:rsidRPr="007D4DDF" w:rsidRDefault="00196196" w:rsidP="00777703">
      <w:pPr>
        <w:spacing w:before="0" w:after="120" w:line="240" w:lineRule="auto"/>
        <w:rPr>
          <w:szCs w:val="24"/>
        </w:rPr>
      </w:pPr>
      <w:r w:rsidRPr="007D4DDF">
        <w:rPr>
          <w:szCs w:val="24"/>
        </w:rPr>
        <w:t xml:space="preserve">Other examples of good practice involve initiatives where the </w:t>
      </w:r>
      <w:r w:rsidR="0000263C" w:rsidRPr="007D4DDF">
        <w:rPr>
          <w:szCs w:val="24"/>
        </w:rPr>
        <w:t>state</w:t>
      </w:r>
      <w:r w:rsidRPr="007D4DDF">
        <w:rPr>
          <w:szCs w:val="24"/>
        </w:rPr>
        <w:t xml:space="preserve"> purchases distressed mortgages and arranges for occupants to become tenants</w:t>
      </w:r>
      <w:r w:rsidR="00C8635E" w:rsidRPr="007D4DDF">
        <w:rPr>
          <w:szCs w:val="24"/>
        </w:rPr>
        <w:t>,</w:t>
      </w:r>
      <w:r w:rsidRPr="007D4DDF">
        <w:rPr>
          <w:szCs w:val="24"/>
        </w:rPr>
        <w:t xml:space="preserve"> as in Hungary, </w:t>
      </w:r>
      <w:r w:rsidR="00C8635E" w:rsidRPr="007D4DDF">
        <w:rPr>
          <w:szCs w:val="24"/>
        </w:rPr>
        <w:t xml:space="preserve">a practice </w:t>
      </w:r>
      <w:r w:rsidRPr="007D4DDF">
        <w:rPr>
          <w:szCs w:val="24"/>
        </w:rPr>
        <w:t xml:space="preserve">described by </w:t>
      </w:r>
      <w:proofErr w:type="spellStart"/>
      <w:r w:rsidRPr="007D4DDF">
        <w:rPr>
          <w:szCs w:val="24"/>
        </w:rPr>
        <w:t>Nóra</w:t>
      </w:r>
      <w:proofErr w:type="spellEnd"/>
      <w:r w:rsidRPr="007D4DDF">
        <w:rPr>
          <w:szCs w:val="24"/>
        </w:rPr>
        <w:t xml:space="preserve"> Teller, </w:t>
      </w:r>
      <w:proofErr w:type="spellStart"/>
      <w:r w:rsidRPr="007D4DDF">
        <w:rPr>
          <w:rStyle w:val="spellingerror"/>
          <w:color w:val="000000"/>
          <w:szCs w:val="24"/>
          <w:shd w:val="clear" w:color="auto" w:fill="FFFFFF"/>
        </w:rPr>
        <w:t>Eszter</w:t>
      </w:r>
      <w:proofErr w:type="spellEnd"/>
      <w:r w:rsidRPr="007D4DDF">
        <w:rPr>
          <w:rStyle w:val="apple-converted-space"/>
          <w:color w:val="000000"/>
          <w:szCs w:val="24"/>
          <w:shd w:val="clear" w:color="auto" w:fill="FFFFFF"/>
        </w:rPr>
        <w:t> </w:t>
      </w:r>
      <w:r w:rsidRPr="007D4DDF">
        <w:rPr>
          <w:rStyle w:val="spellingerror"/>
          <w:color w:val="000000"/>
          <w:szCs w:val="24"/>
          <w:shd w:val="clear" w:color="auto" w:fill="FFFFFF"/>
        </w:rPr>
        <w:t>Somogyi</w:t>
      </w:r>
      <w:r w:rsidRPr="007D4DDF">
        <w:rPr>
          <w:rStyle w:val="apple-converted-space"/>
          <w:color w:val="000000"/>
          <w:szCs w:val="24"/>
          <w:shd w:val="clear" w:color="auto" w:fill="FFFFFF"/>
        </w:rPr>
        <w:t> </w:t>
      </w:r>
      <w:r w:rsidRPr="007D4DDF">
        <w:rPr>
          <w:rStyle w:val="normaltextrun"/>
          <w:color w:val="000000"/>
          <w:szCs w:val="24"/>
          <w:shd w:val="clear" w:color="auto" w:fill="FFFFFF"/>
        </w:rPr>
        <w:t xml:space="preserve">and </w:t>
      </w:r>
      <w:proofErr w:type="spellStart"/>
      <w:r w:rsidRPr="007D4DDF">
        <w:rPr>
          <w:rStyle w:val="spellingerror"/>
          <w:color w:val="000000"/>
          <w:szCs w:val="24"/>
          <w:shd w:val="clear" w:color="auto" w:fill="FFFFFF"/>
        </w:rPr>
        <w:t>Nóra</w:t>
      </w:r>
      <w:proofErr w:type="spellEnd"/>
      <w:r w:rsidRPr="007D4DDF">
        <w:rPr>
          <w:rStyle w:val="apple-converted-space"/>
          <w:color w:val="000000"/>
          <w:szCs w:val="24"/>
          <w:shd w:val="clear" w:color="auto" w:fill="FFFFFF"/>
        </w:rPr>
        <w:t> </w:t>
      </w:r>
      <w:proofErr w:type="spellStart"/>
      <w:r w:rsidRPr="007D4DDF">
        <w:rPr>
          <w:rStyle w:val="spellingerror"/>
          <w:color w:val="000000"/>
          <w:szCs w:val="24"/>
          <w:shd w:val="clear" w:color="auto" w:fill="FFFFFF"/>
        </w:rPr>
        <w:t>Tosic</w:t>
      </w:r>
      <w:proofErr w:type="spellEnd"/>
      <w:r w:rsidRPr="007D4DDF">
        <w:rPr>
          <w:rStyle w:val="spellingerror"/>
          <w:color w:val="000000"/>
          <w:szCs w:val="24"/>
          <w:shd w:val="clear" w:color="auto" w:fill="FFFFFF"/>
        </w:rPr>
        <w:t xml:space="preserve">. </w:t>
      </w:r>
      <w:r w:rsidRPr="007D4DDF">
        <w:rPr>
          <w:szCs w:val="24"/>
        </w:rPr>
        <w:t xml:space="preserve">Ultimately, as Caroline Hunter and Nicholas </w:t>
      </w:r>
      <w:proofErr w:type="spellStart"/>
      <w:r w:rsidRPr="007D4DDF">
        <w:rPr>
          <w:szCs w:val="24"/>
        </w:rPr>
        <w:t>Pleace</w:t>
      </w:r>
      <w:proofErr w:type="spellEnd"/>
      <w:r w:rsidRPr="007D4DDF">
        <w:rPr>
          <w:szCs w:val="24"/>
        </w:rPr>
        <w:t xml:space="preserve"> point out, the key to avoiding homelessness or housing exclusion following eviction is a strongly integrated strategy involving housing advice, homelessness prevention and other services working seamlessly.</w:t>
      </w:r>
    </w:p>
    <w:p w14:paraId="2A76EEAE" w14:textId="6C582D8D" w:rsidR="006E160F" w:rsidRDefault="006E160F">
      <w:pPr>
        <w:spacing w:before="0" w:after="0" w:line="240" w:lineRule="auto"/>
        <w:rPr>
          <w:szCs w:val="24"/>
        </w:rPr>
      </w:pPr>
      <w:r>
        <w:rPr>
          <w:szCs w:val="24"/>
        </w:rPr>
        <w:br w:type="page"/>
      </w:r>
    </w:p>
    <w:p w14:paraId="2FAF4288" w14:textId="5BB4CF90" w:rsidR="001A4592" w:rsidRDefault="00495EF7" w:rsidP="00777703">
      <w:pPr>
        <w:pStyle w:val="Heading1"/>
        <w:spacing w:before="0" w:after="120" w:line="240" w:lineRule="auto"/>
        <w:ind w:left="1134" w:hanging="1134"/>
        <w:rPr>
          <w:rFonts w:ascii="Times New Roman" w:hAnsi="Times New Roman"/>
          <w:bCs w:val="0"/>
          <w:caps/>
          <w:sz w:val="28"/>
          <w:szCs w:val="28"/>
        </w:rPr>
      </w:pPr>
      <w:bookmarkStart w:id="10" w:name="_Toc508191198"/>
      <w:r w:rsidRPr="008B1CB3">
        <w:rPr>
          <w:rFonts w:ascii="Times New Roman" w:hAnsi="Times New Roman"/>
          <w:bCs w:val="0"/>
          <w:sz w:val="28"/>
          <w:szCs w:val="28"/>
        </w:rPr>
        <w:lastRenderedPageBreak/>
        <w:t>4</w:t>
      </w:r>
      <w:r w:rsidR="00395E14" w:rsidRPr="008B1CB3">
        <w:rPr>
          <w:rFonts w:ascii="Times New Roman" w:hAnsi="Times New Roman"/>
          <w:bCs w:val="0"/>
          <w:sz w:val="28"/>
          <w:szCs w:val="28"/>
        </w:rPr>
        <w:t>.</w:t>
      </w:r>
      <w:r w:rsidR="007A7A76" w:rsidRPr="008B1CB3">
        <w:rPr>
          <w:rFonts w:ascii="Times New Roman" w:hAnsi="Times New Roman"/>
          <w:bCs w:val="0"/>
          <w:sz w:val="28"/>
          <w:szCs w:val="28"/>
        </w:rPr>
        <w:t xml:space="preserve"> </w:t>
      </w:r>
      <w:r w:rsidR="00196196" w:rsidRPr="008B1CB3">
        <w:rPr>
          <w:rFonts w:ascii="Times New Roman" w:hAnsi="Times New Roman"/>
          <w:bCs w:val="0"/>
          <w:caps/>
          <w:sz w:val="28"/>
          <w:szCs w:val="28"/>
        </w:rPr>
        <w:t>Legal and Human Rights Context</w:t>
      </w:r>
      <w:bookmarkEnd w:id="10"/>
    </w:p>
    <w:p w14:paraId="51A87260" w14:textId="77777777" w:rsidR="008B1CB3" w:rsidRDefault="008B1CB3" w:rsidP="00777703">
      <w:pPr>
        <w:pStyle w:val="Heading2"/>
        <w:spacing w:before="0" w:after="120" w:line="240" w:lineRule="auto"/>
        <w:ind w:left="1134" w:hanging="1134"/>
        <w:rPr>
          <w:rFonts w:ascii="Times New Roman" w:eastAsia="MS Mincho" w:hAnsi="Times New Roman"/>
          <w:lang w:eastAsia="ja-JP"/>
        </w:rPr>
      </w:pPr>
      <w:bookmarkStart w:id="11" w:name="_Toc508191199"/>
    </w:p>
    <w:p w14:paraId="71983385" w14:textId="0F768A68" w:rsidR="001A4592" w:rsidRPr="007D4DDF" w:rsidRDefault="001A7A41" w:rsidP="00777703">
      <w:pPr>
        <w:pStyle w:val="Heading2"/>
        <w:spacing w:before="0" w:after="120" w:line="240" w:lineRule="auto"/>
        <w:ind w:left="1134" w:hanging="1134"/>
        <w:rPr>
          <w:rFonts w:ascii="Times New Roman" w:eastAsia="MS Mincho" w:hAnsi="Times New Roman"/>
          <w:lang w:eastAsia="ja-JP"/>
        </w:rPr>
      </w:pPr>
      <w:r w:rsidRPr="007D4DDF">
        <w:rPr>
          <w:rFonts w:ascii="Times New Roman" w:eastAsia="MS Mincho" w:hAnsi="Times New Roman"/>
          <w:lang w:eastAsia="ja-JP"/>
        </w:rPr>
        <w:t>4.1</w:t>
      </w:r>
      <w:r w:rsidR="006E160F">
        <w:rPr>
          <w:rFonts w:ascii="Times New Roman" w:eastAsia="MS Mincho" w:hAnsi="Times New Roman"/>
          <w:lang w:eastAsia="ja-JP"/>
        </w:rPr>
        <w:t>.</w:t>
      </w:r>
      <w:r w:rsidR="007A7A76">
        <w:rPr>
          <w:rFonts w:ascii="Times New Roman" w:eastAsia="MS Mincho" w:hAnsi="Times New Roman"/>
          <w:lang w:eastAsia="ja-JP"/>
        </w:rPr>
        <w:t xml:space="preserve"> </w:t>
      </w:r>
      <w:r w:rsidR="00196196" w:rsidRPr="007D4DDF">
        <w:rPr>
          <w:rFonts w:ascii="Times New Roman" w:eastAsia="MS Mincho" w:hAnsi="Times New Roman"/>
          <w:lang w:eastAsia="ja-JP"/>
        </w:rPr>
        <w:t xml:space="preserve">Housing </w:t>
      </w:r>
      <w:r w:rsidR="000A50BD" w:rsidRPr="007D4DDF">
        <w:rPr>
          <w:rFonts w:ascii="Times New Roman" w:eastAsia="MS Mincho" w:hAnsi="Times New Roman"/>
          <w:lang w:eastAsia="ja-JP"/>
        </w:rPr>
        <w:t>R</w:t>
      </w:r>
      <w:r w:rsidR="008D20C6" w:rsidRPr="007D4DDF">
        <w:rPr>
          <w:rFonts w:ascii="Times New Roman" w:eastAsia="MS Mincho" w:hAnsi="Times New Roman"/>
          <w:lang w:eastAsia="ja-JP"/>
        </w:rPr>
        <w:t xml:space="preserve">ights and </w:t>
      </w:r>
      <w:r w:rsidR="000A50BD" w:rsidRPr="007D4DDF">
        <w:rPr>
          <w:rFonts w:ascii="Times New Roman" w:eastAsia="MS Mincho" w:hAnsi="Times New Roman"/>
          <w:lang w:eastAsia="ja-JP"/>
        </w:rPr>
        <w:t>E</w:t>
      </w:r>
      <w:r w:rsidR="008D20C6" w:rsidRPr="007D4DDF">
        <w:rPr>
          <w:rFonts w:ascii="Times New Roman" w:eastAsia="MS Mincho" w:hAnsi="Times New Roman"/>
          <w:lang w:eastAsia="ja-JP"/>
        </w:rPr>
        <w:t>victions</w:t>
      </w:r>
      <w:bookmarkEnd w:id="11"/>
    </w:p>
    <w:p w14:paraId="76FD6688" w14:textId="77777777" w:rsidR="001A4592" w:rsidRPr="007D4DDF" w:rsidRDefault="00196196" w:rsidP="00395E14">
      <w:pPr>
        <w:spacing w:before="0" w:after="120" w:line="240" w:lineRule="auto"/>
        <w:rPr>
          <w:szCs w:val="24"/>
          <w:u w:val="single"/>
        </w:rPr>
      </w:pPr>
      <w:r w:rsidRPr="007D4DDF">
        <w:rPr>
          <w:rFonts w:eastAsia="MS Mincho"/>
          <w:szCs w:val="24"/>
          <w:lang w:eastAsia="ja-JP"/>
        </w:rPr>
        <w:t>Evictions can involve a gross violation of human rights, especially the right to adequate housing. Forced evictions can result in other severe human rights violations, particularly when they are accompanied by forced relocation or homelessness.</w:t>
      </w:r>
      <w:r w:rsidRPr="007D4DDF">
        <w:rPr>
          <w:rStyle w:val="FootnoteReference"/>
          <w:rFonts w:eastAsia="MS Mincho"/>
          <w:szCs w:val="24"/>
          <w:lang w:eastAsia="ja-JP"/>
        </w:rPr>
        <w:footnoteReference w:id="58"/>
      </w:r>
      <w:r w:rsidRPr="007D4DDF">
        <w:rPr>
          <w:rFonts w:eastAsia="MS Mincho"/>
          <w:szCs w:val="24"/>
          <w:lang w:eastAsia="ja-JP"/>
        </w:rPr>
        <w:t xml:space="preserve"> Unsurprisingly, therefore, </w:t>
      </w:r>
      <w:r w:rsidRPr="007D4DDF">
        <w:rPr>
          <w:color w:val="000000"/>
          <w:szCs w:val="24"/>
        </w:rPr>
        <w:t>evictions which involve interference with the home by state or non-state institutions have been the subject of many constitutional and legal provisions establishing strict legal limitations.</w:t>
      </w:r>
      <w:r w:rsidRPr="007D4DDF">
        <w:rPr>
          <w:rStyle w:val="FootnoteReference"/>
          <w:rFonts w:eastAsia="MS Mincho"/>
          <w:color w:val="000000"/>
          <w:szCs w:val="24"/>
        </w:rPr>
        <w:footnoteReference w:id="59"/>
      </w:r>
    </w:p>
    <w:p w14:paraId="72535AED" w14:textId="77777777" w:rsidR="001A4592" w:rsidRPr="007D4DDF" w:rsidRDefault="00196196" w:rsidP="00777703">
      <w:pPr>
        <w:autoSpaceDE w:val="0"/>
        <w:autoSpaceDN w:val="0"/>
        <w:adjustRightInd w:val="0"/>
        <w:spacing w:before="0" w:after="120" w:line="240" w:lineRule="auto"/>
        <w:rPr>
          <w:color w:val="000000"/>
          <w:szCs w:val="24"/>
        </w:rPr>
      </w:pPr>
      <w:r w:rsidRPr="007D4DDF">
        <w:rPr>
          <w:bCs/>
          <w:color w:val="000000"/>
          <w:szCs w:val="24"/>
        </w:rPr>
        <w:t xml:space="preserve">Fundamental human </w:t>
      </w:r>
      <w:r w:rsidR="00C8635E" w:rsidRPr="007D4DDF">
        <w:rPr>
          <w:bCs/>
          <w:color w:val="000000"/>
          <w:szCs w:val="24"/>
        </w:rPr>
        <w:t xml:space="preserve">rights </w:t>
      </w:r>
      <w:r w:rsidRPr="007D4DDF">
        <w:rPr>
          <w:bCs/>
          <w:color w:val="000000"/>
          <w:szCs w:val="24"/>
        </w:rPr>
        <w:t xml:space="preserve">and housing rights are rooted in the social and political order of society, social justice, the development of children, </w:t>
      </w:r>
      <w:r w:rsidR="00C8635E" w:rsidRPr="007D4DDF">
        <w:rPr>
          <w:bCs/>
          <w:color w:val="000000"/>
          <w:szCs w:val="24"/>
        </w:rPr>
        <w:t xml:space="preserve">the </w:t>
      </w:r>
      <w:r w:rsidRPr="007D4DDF">
        <w:rPr>
          <w:bCs/>
          <w:color w:val="000000"/>
          <w:szCs w:val="24"/>
        </w:rPr>
        <w:t xml:space="preserve">securing </w:t>
      </w:r>
      <w:r w:rsidR="00C8635E" w:rsidRPr="007D4DDF">
        <w:rPr>
          <w:bCs/>
          <w:color w:val="000000"/>
          <w:szCs w:val="24"/>
        </w:rPr>
        <w:t xml:space="preserve">of </w:t>
      </w:r>
      <w:r w:rsidRPr="007D4DDF">
        <w:rPr>
          <w:bCs/>
          <w:color w:val="000000"/>
          <w:szCs w:val="24"/>
        </w:rPr>
        <w:t xml:space="preserve">a stable home life, security of tenure, a corrective to markets and advancing the public interest. </w:t>
      </w:r>
      <w:r w:rsidRPr="007D4DDF">
        <w:rPr>
          <w:color w:val="000000"/>
          <w:szCs w:val="24"/>
        </w:rPr>
        <w:t xml:space="preserve">The term </w:t>
      </w:r>
      <w:r w:rsidR="00774E90" w:rsidRPr="007D4DDF">
        <w:rPr>
          <w:color w:val="000000"/>
          <w:szCs w:val="24"/>
        </w:rPr>
        <w:t>‘</w:t>
      </w:r>
      <w:r w:rsidRPr="007D4DDF">
        <w:rPr>
          <w:color w:val="000000"/>
          <w:szCs w:val="24"/>
        </w:rPr>
        <w:t>right to housing</w:t>
      </w:r>
      <w:r w:rsidR="00774E90" w:rsidRPr="007D4DDF">
        <w:rPr>
          <w:color w:val="000000"/>
          <w:szCs w:val="24"/>
        </w:rPr>
        <w:t>’</w:t>
      </w:r>
      <w:r w:rsidRPr="007D4DDF">
        <w:rPr>
          <w:color w:val="000000"/>
          <w:szCs w:val="24"/>
        </w:rPr>
        <w:t xml:space="preserve"> often refers to wider rights of housing access, quality and other factors, as well as protection from eviction and homelessness prevention. The right to housing is primarily framed, defined, implemented and enforced through national constitutional, legislative, regulatory and institutional provisions.</w:t>
      </w:r>
      <w:r w:rsidRPr="007D4DDF">
        <w:rPr>
          <w:rStyle w:val="FootnoteReference"/>
          <w:color w:val="000000"/>
          <w:szCs w:val="24"/>
        </w:rPr>
        <w:footnoteReference w:id="60"/>
      </w:r>
      <w:r w:rsidR="00C8635E" w:rsidRPr="007D4DDF">
        <w:rPr>
          <w:color w:val="000000"/>
          <w:szCs w:val="24"/>
        </w:rPr>
        <w:t xml:space="preserve"> </w:t>
      </w:r>
      <w:r w:rsidRPr="007D4DDF">
        <w:rPr>
          <w:color w:val="000000"/>
          <w:szCs w:val="24"/>
        </w:rPr>
        <w:t>Across EU Member States, there is a complex interplay between national law, EU law and various international human rights instruments in relation to evictions.</w:t>
      </w:r>
      <w:r w:rsidRPr="007D4DDF">
        <w:rPr>
          <w:rStyle w:val="FootnoteReference"/>
          <w:color w:val="000000"/>
          <w:szCs w:val="24"/>
        </w:rPr>
        <w:footnoteReference w:id="61"/>
      </w:r>
    </w:p>
    <w:p w14:paraId="02D4291E" w14:textId="77777777" w:rsidR="001A4592" w:rsidRPr="007D4DDF" w:rsidRDefault="00196196" w:rsidP="00777703">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Illegal or </w:t>
      </w:r>
      <w:r w:rsidR="009134ED" w:rsidRPr="007D4DDF">
        <w:rPr>
          <w:rFonts w:ascii="Times New Roman" w:hAnsi="Times New Roman"/>
          <w:color w:val="000000"/>
        </w:rPr>
        <w:t>unauthori</w:t>
      </w:r>
      <w:r w:rsidR="009134ED">
        <w:rPr>
          <w:rFonts w:ascii="Times New Roman" w:hAnsi="Times New Roman"/>
          <w:color w:val="000000"/>
        </w:rPr>
        <w:t>z</w:t>
      </w:r>
      <w:r w:rsidR="009134ED" w:rsidRPr="007D4DDF">
        <w:rPr>
          <w:rFonts w:ascii="Times New Roman" w:hAnsi="Times New Roman"/>
          <w:color w:val="000000"/>
        </w:rPr>
        <w:t xml:space="preserve">ed </w:t>
      </w:r>
      <w:r w:rsidRPr="007D4DDF">
        <w:rPr>
          <w:rFonts w:ascii="Times New Roman" w:hAnsi="Times New Roman"/>
          <w:color w:val="000000"/>
        </w:rPr>
        <w:t>evictions are generally regarded as a violation of housing rights, and there are growing obligations on EU Member States</w:t>
      </w:r>
      <w:r w:rsidR="00C8635E" w:rsidRPr="007D4DDF">
        <w:rPr>
          <w:rFonts w:ascii="Times New Roman" w:hAnsi="Times New Roman"/>
          <w:color w:val="000000"/>
        </w:rPr>
        <w:t>, in relation to</w:t>
      </w:r>
      <w:r w:rsidRPr="007D4DDF">
        <w:rPr>
          <w:rFonts w:ascii="Times New Roman" w:hAnsi="Times New Roman"/>
          <w:color w:val="000000"/>
        </w:rPr>
        <w:t xml:space="preserve"> particular classes of people, to rehouse those evicted before authorising actual evictions.</w:t>
      </w:r>
      <w:r w:rsidRPr="007D4DDF">
        <w:rPr>
          <w:rStyle w:val="FootnoteReference"/>
          <w:rFonts w:ascii="Times New Roman" w:hAnsi="Times New Roman"/>
          <w:color w:val="000000"/>
        </w:rPr>
        <w:footnoteReference w:id="62"/>
      </w:r>
      <w:r w:rsidR="00C245AB" w:rsidRPr="007D4DDF">
        <w:rPr>
          <w:rFonts w:ascii="Times New Roman" w:hAnsi="Times New Roman"/>
          <w:color w:val="000000"/>
        </w:rPr>
        <w:t xml:space="preserve"> </w:t>
      </w:r>
      <w:r w:rsidRPr="007D4DDF">
        <w:rPr>
          <w:rFonts w:ascii="Times New Roman" w:hAnsi="Times New Roman"/>
          <w:color w:val="000000"/>
        </w:rPr>
        <w:t>While</w:t>
      </w:r>
      <w:r w:rsidRPr="007D4DDF">
        <w:rPr>
          <w:rFonts w:ascii="Times New Roman" w:hAnsi="Times New Roman"/>
          <w:bCs/>
          <w:color w:val="000000"/>
        </w:rPr>
        <w:t xml:space="preserve"> the rights of those being evicted can include criminal law remedies for illegal or </w:t>
      </w:r>
      <w:r w:rsidR="009134ED" w:rsidRPr="007D4DDF">
        <w:rPr>
          <w:rFonts w:ascii="Times New Roman" w:hAnsi="Times New Roman"/>
          <w:bCs/>
          <w:color w:val="000000"/>
        </w:rPr>
        <w:t>unauthori</w:t>
      </w:r>
      <w:r w:rsidR="009134ED">
        <w:rPr>
          <w:rFonts w:ascii="Times New Roman" w:hAnsi="Times New Roman"/>
          <w:bCs/>
          <w:color w:val="000000"/>
        </w:rPr>
        <w:t>z</w:t>
      </w:r>
      <w:r w:rsidR="009134ED" w:rsidRPr="007D4DDF">
        <w:rPr>
          <w:rFonts w:ascii="Times New Roman" w:hAnsi="Times New Roman"/>
          <w:bCs/>
          <w:color w:val="000000"/>
        </w:rPr>
        <w:t xml:space="preserve">ed </w:t>
      </w:r>
      <w:r w:rsidRPr="007D4DDF">
        <w:rPr>
          <w:rFonts w:ascii="Times New Roman" w:hAnsi="Times New Roman"/>
          <w:bCs/>
          <w:color w:val="000000"/>
        </w:rPr>
        <w:t>evictions, the EU Pilot Project Report found few enforced criminal sanctions in relation to illegal/</w:t>
      </w:r>
      <w:r w:rsidR="009134ED" w:rsidRPr="007D4DDF">
        <w:rPr>
          <w:rFonts w:ascii="Times New Roman" w:hAnsi="Times New Roman"/>
          <w:bCs/>
          <w:color w:val="000000"/>
        </w:rPr>
        <w:t>unauthori</w:t>
      </w:r>
      <w:r w:rsidR="009134ED">
        <w:rPr>
          <w:rFonts w:ascii="Times New Roman" w:hAnsi="Times New Roman"/>
          <w:bCs/>
          <w:color w:val="000000"/>
        </w:rPr>
        <w:t>z</w:t>
      </w:r>
      <w:r w:rsidR="009134ED" w:rsidRPr="007D4DDF">
        <w:rPr>
          <w:rFonts w:ascii="Times New Roman" w:hAnsi="Times New Roman"/>
          <w:bCs/>
          <w:color w:val="000000"/>
        </w:rPr>
        <w:t xml:space="preserve">ed </w:t>
      </w:r>
      <w:r w:rsidRPr="007D4DDF">
        <w:rPr>
          <w:rFonts w:ascii="Times New Roman" w:hAnsi="Times New Roman"/>
          <w:bCs/>
          <w:color w:val="000000"/>
        </w:rPr>
        <w:t xml:space="preserve">evictions across EU Member States. Countries with </w:t>
      </w:r>
      <w:r w:rsidRPr="007D4DDF">
        <w:rPr>
          <w:rFonts w:ascii="Times New Roman" w:hAnsi="Times New Roman"/>
          <w:color w:val="000000"/>
        </w:rPr>
        <w:t xml:space="preserve">a relatively high level of renting in the </w:t>
      </w:r>
      <w:r w:rsidR="00492019" w:rsidRPr="007D4DDF">
        <w:rPr>
          <w:rFonts w:ascii="Times New Roman" w:hAnsi="Times New Roman"/>
          <w:color w:val="000000"/>
        </w:rPr>
        <w:t>‘</w:t>
      </w:r>
      <w:r w:rsidR="00B46BAE" w:rsidRPr="007D4DDF">
        <w:rPr>
          <w:rFonts w:ascii="Times New Roman" w:hAnsi="Times New Roman"/>
          <w:color w:val="000000"/>
        </w:rPr>
        <w:t xml:space="preserve">shadow </w:t>
      </w:r>
      <w:r w:rsidRPr="007D4DDF">
        <w:rPr>
          <w:rFonts w:ascii="Times New Roman" w:hAnsi="Times New Roman"/>
          <w:color w:val="000000"/>
        </w:rPr>
        <w:t>market</w:t>
      </w:r>
      <w:r w:rsidR="00492019" w:rsidRPr="007D4DDF">
        <w:rPr>
          <w:rFonts w:ascii="Times New Roman" w:hAnsi="Times New Roman"/>
          <w:color w:val="000000"/>
        </w:rPr>
        <w:t>’</w:t>
      </w:r>
      <w:r w:rsidRPr="007D4DDF">
        <w:rPr>
          <w:rFonts w:ascii="Times New Roman" w:hAnsi="Times New Roman"/>
          <w:color w:val="000000"/>
        </w:rPr>
        <w:t xml:space="preserve"> reported significant levels of illegal evictions.</w:t>
      </w:r>
      <w:r w:rsidRPr="007D4DDF">
        <w:rPr>
          <w:rStyle w:val="FootnoteReference"/>
          <w:rFonts w:ascii="Times New Roman" w:hAnsi="Times New Roman"/>
          <w:color w:val="000000"/>
        </w:rPr>
        <w:footnoteReference w:id="63"/>
      </w:r>
    </w:p>
    <w:p w14:paraId="203A107C" w14:textId="77777777" w:rsidR="005B087B" w:rsidRPr="007D4DDF" w:rsidRDefault="005B087B" w:rsidP="00777703">
      <w:pPr>
        <w:pStyle w:val="normal12"/>
        <w:suppressAutoHyphens/>
        <w:spacing w:before="0" w:line="240" w:lineRule="auto"/>
        <w:jc w:val="left"/>
        <w:rPr>
          <w:rFonts w:ascii="Times New Roman" w:hAnsi="Times New Roman"/>
          <w:color w:val="000000"/>
        </w:rPr>
      </w:pPr>
    </w:p>
    <w:p w14:paraId="6E971B72" w14:textId="7DAE7726" w:rsidR="001A4592" w:rsidRPr="007D4DDF" w:rsidRDefault="00BA75FF" w:rsidP="00777703">
      <w:pPr>
        <w:pStyle w:val="Heading3"/>
        <w:spacing w:before="0" w:after="120" w:line="240" w:lineRule="auto"/>
        <w:ind w:left="1134" w:hanging="1134"/>
        <w:rPr>
          <w:rFonts w:ascii="Times New Roman" w:hAnsi="Times New Roman"/>
        </w:rPr>
      </w:pPr>
      <w:bookmarkStart w:id="12" w:name="_Toc508191200"/>
      <w:r w:rsidRPr="007D4DDF">
        <w:rPr>
          <w:rFonts w:ascii="Times New Roman" w:hAnsi="Times New Roman"/>
        </w:rPr>
        <w:lastRenderedPageBreak/>
        <w:t>4.2</w:t>
      </w:r>
      <w:r w:rsidR="006E160F">
        <w:rPr>
          <w:rFonts w:ascii="Times New Roman" w:hAnsi="Times New Roman"/>
        </w:rPr>
        <w:t>.</w:t>
      </w:r>
      <w:r w:rsidR="00D662F2">
        <w:rPr>
          <w:rFonts w:ascii="Times New Roman" w:hAnsi="Times New Roman"/>
        </w:rPr>
        <w:t xml:space="preserve"> </w:t>
      </w:r>
      <w:r w:rsidR="00196196" w:rsidRPr="007D4DDF">
        <w:rPr>
          <w:rFonts w:ascii="Times New Roman" w:hAnsi="Times New Roman"/>
        </w:rPr>
        <w:t xml:space="preserve">Housing </w:t>
      </w:r>
      <w:r w:rsidR="008067ED" w:rsidRPr="007D4DDF">
        <w:rPr>
          <w:rFonts w:ascii="Times New Roman" w:hAnsi="Times New Roman"/>
        </w:rPr>
        <w:t>R</w:t>
      </w:r>
      <w:r w:rsidR="006C0264" w:rsidRPr="007D4DDF">
        <w:rPr>
          <w:rFonts w:ascii="Times New Roman" w:hAnsi="Times New Roman"/>
        </w:rPr>
        <w:t xml:space="preserve">ights </w:t>
      </w:r>
      <w:r w:rsidR="00196196" w:rsidRPr="007D4DDF">
        <w:rPr>
          <w:rFonts w:ascii="Times New Roman" w:hAnsi="Times New Roman"/>
        </w:rPr>
        <w:t xml:space="preserve">at UN </w:t>
      </w:r>
      <w:r w:rsidR="00C939C9" w:rsidRPr="007D4DDF">
        <w:rPr>
          <w:rFonts w:ascii="Times New Roman" w:hAnsi="Times New Roman"/>
        </w:rPr>
        <w:t>L</w:t>
      </w:r>
      <w:r w:rsidR="00196196" w:rsidRPr="007D4DDF">
        <w:rPr>
          <w:rFonts w:ascii="Times New Roman" w:hAnsi="Times New Roman"/>
        </w:rPr>
        <w:t>evel</w:t>
      </w:r>
      <w:bookmarkEnd w:id="12"/>
    </w:p>
    <w:p w14:paraId="3604D050" w14:textId="77777777" w:rsidR="001A4592" w:rsidRPr="007D4DDF" w:rsidRDefault="00196196" w:rsidP="00395E14">
      <w:pPr>
        <w:spacing w:before="0" w:after="120" w:line="240" w:lineRule="auto"/>
        <w:rPr>
          <w:color w:val="000000"/>
          <w:szCs w:val="24"/>
        </w:rPr>
      </w:pPr>
      <w:r w:rsidRPr="007D4DDF">
        <w:rPr>
          <w:rFonts w:eastAsia="MS Mincho"/>
          <w:szCs w:val="24"/>
          <w:lang w:eastAsia="ja-JP"/>
        </w:rPr>
        <w:t xml:space="preserve">Protection from eviction forms part of the protection of the right to housing </w:t>
      </w:r>
      <w:r w:rsidR="00C245AB" w:rsidRPr="007D4DDF">
        <w:rPr>
          <w:rFonts w:eastAsia="MS Mincho"/>
          <w:szCs w:val="24"/>
          <w:lang w:eastAsia="ja-JP"/>
        </w:rPr>
        <w:t xml:space="preserve">and </w:t>
      </w:r>
      <w:r w:rsidRPr="007D4DDF">
        <w:rPr>
          <w:rFonts w:eastAsia="MS Mincho"/>
          <w:szCs w:val="24"/>
          <w:lang w:eastAsia="ja-JP"/>
        </w:rPr>
        <w:t xml:space="preserve">is </w:t>
      </w:r>
      <w:r w:rsidR="009134ED" w:rsidRPr="007D4DDF">
        <w:rPr>
          <w:rFonts w:eastAsia="MS Mincho"/>
          <w:szCs w:val="24"/>
          <w:lang w:eastAsia="ja-JP"/>
        </w:rPr>
        <w:t>recogni</w:t>
      </w:r>
      <w:r w:rsidR="009134ED">
        <w:rPr>
          <w:rFonts w:eastAsia="MS Mincho"/>
          <w:szCs w:val="24"/>
          <w:lang w:eastAsia="ja-JP"/>
        </w:rPr>
        <w:t>z</w:t>
      </w:r>
      <w:r w:rsidR="009134ED" w:rsidRPr="007D4DDF">
        <w:rPr>
          <w:rFonts w:eastAsia="MS Mincho"/>
          <w:szCs w:val="24"/>
          <w:lang w:eastAsia="ja-JP"/>
        </w:rPr>
        <w:t xml:space="preserve">ed </w:t>
      </w:r>
      <w:r w:rsidRPr="007D4DDF">
        <w:rPr>
          <w:rFonts w:eastAsia="MS Mincho"/>
          <w:szCs w:val="24"/>
          <w:lang w:eastAsia="ja-JP"/>
        </w:rPr>
        <w:t>at the level of international human rights.</w:t>
      </w:r>
      <w:r w:rsidRPr="007D4DDF">
        <w:rPr>
          <w:rStyle w:val="FootnoteReference"/>
          <w:rFonts w:eastAsia="MS Mincho"/>
          <w:szCs w:val="24"/>
          <w:lang w:eastAsia="ja-JP"/>
        </w:rPr>
        <w:footnoteReference w:id="64"/>
      </w:r>
      <w:r w:rsidRPr="007D4DDF">
        <w:rPr>
          <w:rFonts w:eastAsia="MS Mincho"/>
          <w:szCs w:val="24"/>
          <w:lang w:eastAsia="ja-JP"/>
        </w:rPr>
        <w:t xml:space="preserve"> </w:t>
      </w:r>
      <w:r w:rsidRPr="007D4DDF">
        <w:rPr>
          <w:color w:val="000000"/>
          <w:szCs w:val="24"/>
        </w:rPr>
        <w:t>The right to housing is included within the United Nations International Covenant on Economic, Social and Cultural Rights (ICESCR</w:t>
      </w:r>
      <w:r w:rsidR="00D94EE2" w:rsidRPr="007D4DDF">
        <w:rPr>
          <w:color w:val="000000"/>
          <w:szCs w:val="24"/>
        </w:rPr>
        <w:t>)</w:t>
      </w:r>
      <w:r w:rsidRPr="007D4DDF">
        <w:rPr>
          <w:rStyle w:val="FootnoteReference"/>
          <w:color w:val="000000"/>
          <w:szCs w:val="24"/>
        </w:rPr>
        <w:footnoteReference w:id="65"/>
      </w:r>
      <w:r w:rsidRPr="007D4DDF">
        <w:rPr>
          <w:color w:val="000000"/>
          <w:szCs w:val="24"/>
        </w:rPr>
        <w:t xml:space="preserve"> and the European Social Charter of the Council of Europe,</w:t>
      </w:r>
      <w:r w:rsidRPr="007D4DDF">
        <w:rPr>
          <w:rStyle w:val="FootnoteReference"/>
          <w:color w:val="000000"/>
          <w:szCs w:val="24"/>
        </w:rPr>
        <w:footnoteReference w:id="66"/>
      </w:r>
      <w:r w:rsidRPr="007D4DDF">
        <w:rPr>
          <w:color w:val="000000"/>
          <w:szCs w:val="24"/>
        </w:rPr>
        <w:t xml:space="preserve"> both of which have been ratified by all EU Member States.</w:t>
      </w:r>
    </w:p>
    <w:p w14:paraId="71B8561D" w14:textId="77777777" w:rsidR="001A4592" w:rsidRPr="007D4DDF" w:rsidRDefault="00196196" w:rsidP="00395E14">
      <w:pPr>
        <w:spacing w:before="0" w:after="120" w:line="240" w:lineRule="auto"/>
        <w:rPr>
          <w:szCs w:val="24"/>
        </w:rPr>
      </w:pPr>
      <w:r w:rsidRPr="007D4DDF">
        <w:rPr>
          <w:color w:val="000000"/>
          <w:szCs w:val="24"/>
        </w:rPr>
        <w:t>Article 11</w:t>
      </w:r>
      <w:r w:rsidR="00A835BA" w:rsidRPr="007D4DDF">
        <w:rPr>
          <w:color w:val="000000"/>
          <w:szCs w:val="24"/>
        </w:rPr>
        <w:t xml:space="preserve"> </w:t>
      </w:r>
      <w:r w:rsidRPr="007D4DDF">
        <w:rPr>
          <w:color w:val="000000"/>
          <w:szCs w:val="24"/>
        </w:rPr>
        <w:t>(1) of the ICESCR obliges States Parties to recogni</w:t>
      </w:r>
      <w:r w:rsidR="009134ED">
        <w:rPr>
          <w:color w:val="000000"/>
          <w:szCs w:val="24"/>
        </w:rPr>
        <w:t>z</w:t>
      </w:r>
      <w:r w:rsidRPr="007D4DDF">
        <w:rPr>
          <w:color w:val="000000"/>
          <w:szCs w:val="24"/>
        </w:rPr>
        <w:t>e the right of everyone to an adequate standard of living for himself and his family, including adequate food, clothing and housing</w:t>
      </w:r>
      <w:r w:rsidR="00C245AB" w:rsidRPr="007D4DDF">
        <w:rPr>
          <w:color w:val="000000"/>
          <w:szCs w:val="24"/>
        </w:rPr>
        <w:t>,</w:t>
      </w:r>
      <w:r w:rsidRPr="007D4DDF">
        <w:rPr>
          <w:color w:val="000000"/>
          <w:szCs w:val="24"/>
        </w:rPr>
        <w:t xml:space="preserve"> and to the continuous improvement of living conditions. The States Parties should take appropriate steps to ensure the </w:t>
      </w:r>
      <w:r w:rsidR="007D4DDF" w:rsidRPr="007D4DDF">
        <w:rPr>
          <w:color w:val="000000"/>
          <w:szCs w:val="24"/>
        </w:rPr>
        <w:t>reali</w:t>
      </w:r>
      <w:r w:rsidR="007D4DDF">
        <w:rPr>
          <w:color w:val="000000"/>
          <w:szCs w:val="24"/>
        </w:rPr>
        <w:t>z</w:t>
      </w:r>
      <w:r w:rsidR="007D4DDF" w:rsidRPr="007D4DDF">
        <w:rPr>
          <w:color w:val="000000"/>
          <w:szCs w:val="24"/>
        </w:rPr>
        <w:t xml:space="preserve">ation </w:t>
      </w:r>
      <w:r w:rsidRPr="007D4DDF">
        <w:rPr>
          <w:color w:val="000000"/>
          <w:szCs w:val="24"/>
        </w:rPr>
        <w:t>of this right, recognising to this effect the essential importance of international cooperation based on free consent.</w:t>
      </w:r>
      <w:r w:rsidRPr="007D4DDF">
        <w:rPr>
          <w:rStyle w:val="FootnoteReference"/>
          <w:color w:val="000000"/>
          <w:szCs w:val="24"/>
        </w:rPr>
        <w:footnoteReference w:id="67"/>
      </w:r>
      <w:r w:rsidRPr="007D4DDF">
        <w:rPr>
          <w:color w:val="000000"/>
          <w:szCs w:val="24"/>
        </w:rPr>
        <w:t xml:space="preserve"> </w:t>
      </w:r>
      <w:r w:rsidRPr="007D4DDF">
        <w:rPr>
          <w:szCs w:val="24"/>
        </w:rPr>
        <w:t>State obligations with regard to the right to housing should be interpreted together with all other human rights obligations and, in particular, in the context of eviction, with the obligation to provide the family with the widest possible protection. The obligation of States Parties to provide, to the maximum of their available resources, alternative accommodation for evicted persons who need it, includes the protection of the family unit, especially when the persons are responsible for the care and education of dependent children.</w:t>
      </w:r>
    </w:p>
    <w:p w14:paraId="47CC9A8F" w14:textId="77777777" w:rsidR="00196196" w:rsidRPr="007D4DDF" w:rsidRDefault="005B087B" w:rsidP="00777703">
      <w:pPr>
        <w:spacing w:before="0" w:after="120" w:line="240" w:lineRule="auto"/>
        <w:rPr>
          <w:color w:val="000000"/>
          <w:szCs w:val="24"/>
        </w:rPr>
      </w:pPr>
      <w:r w:rsidRPr="007D4DDF">
        <w:rPr>
          <w:color w:val="000000"/>
          <w:szCs w:val="24"/>
        </w:rPr>
        <w:t xml:space="preserve">The </w:t>
      </w:r>
      <w:r w:rsidR="001B798E" w:rsidRPr="007D4DDF">
        <w:rPr>
          <w:color w:val="000000"/>
          <w:szCs w:val="24"/>
        </w:rPr>
        <w:t>UN Committee on Economic, Social and Cultural Rights (UN CESCR)</w:t>
      </w:r>
      <w:r w:rsidRPr="007D4DDF">
        <w:rPr>
          <w:color w:val="000000"/>
          <w:szCs w:val="24"/>
        </w:rPr>
        <w:t>,</w:t>
      </w:r>
      <w:r w:rsidR="001B798E" w:rsidRPr="007D4DDF">
        <w:rPr>
          <w:color w:val="000000"/>
          <w:szCs w:val="24"/>
        </w:rPr>
        <w:t xml:space="preserve"> General Comment </w:t>
      </w:r>
      <w:r w:rsidRPr="007D4DDF">
        <w:rPr>
          <w:color w:val="000000"/>
          <w:szCs w:val="24"/>
        </w:rPr>
        <w:t xml:space="preserve">No </w:t>
      </w:r>
      <w:r w:rsidR="001B798E" w:rsidRPr="007D4DDF">
        <w:rPr>
          <w:color w:val="000000"/>
          <w:szCs w:val="24"/>
        </w:rPr>
        <w:t>7 on Forced Evictions</w:t>
      </w:r>
      <w:r w:rsidRPr="007D4DDF">
        <w:rPr>
          <w:color w:val="000000"/>
          <w:szCs w:val="24"/>
        </w:rPr>
        <w:t>,</w:t>
      </w:r>
      <w:r w:rsidR="001B798E" w:rsidRPr="007D4DDF">
        <w:rPr>
          <w:color w:val="000000"/>
          <w:szCs w:val="24"/>
        </w:rPr>
        <w:t xml:space="preserve"> sets out the international human rights norms.</w:t>
      </w:r>
      <w:r w:rsidR="001B798E" w:rsidRPr="007D4DDF">
        <w:rPr>
          <w:rStyle w:val="FootnoteReference"/>
          <w:color w:val="000000"/>
          <w:szCs w:val="24"/>
        </w:rPr>
        <w:footnoteReference w:id="68"/>
      </w:r>
      <w:r w:rsidR="001B798E" w:rsidRPr="007D4DDF">
        <w:rPr>
          <w:color w:val="000000"/>
          <w:szCs w:val="24"/>
        </w:rPr>
        <w:t xml:space="preserve"> In cases of forced evictions,</w:t>
      </w:r>
      <w:r w:rsidR="001B798E" w:rsidRPr="007D4DDF">
        <w:rPr>
          <w:rStyle w:val="FootnoteReference"/>
          <w:color w:val="000000"/>
          <w:szCs w:val="24"/>
        </w:rPr>
        <w:footnoteReference w:id="69"/>
      </w:r>
      <w:r w:rsidR="001B798E" w:rsidRPr="007D4DDF">
        <w:rPr>
          <w:color w:val="000000"/>
          <w:szCs w:val="24"/>
        </w:rPr>
        <w:t xml:space="preserve"> UN human rights standards oblige states to ensure the presence of government officials, or their representatives, during an eviction, and ensure proper identification of the persons carrying out the eviction.</w:t>
      </w:r>
      <w:r w:rsidR="001B798E" w:rsidRPr="007D4DDF">
        <w:rPr>
          <w:rStyle w:val="FootnoteReference"/>
          <w:color w:val="000000"/>
          <w:szCs w:val="24"/>
        </w:rPr>
        <w:footnoteReference w:id="70"/>
      </w:r>
    </w:p>
    <w:p w14:paraId="0F523BE4" w14:textId="77777777" w:rsidR="001A4592" w:rsidRPr="007D4DDF" w:rsidRDefault="00196196" w:rsidP="00777703">
      <w:pPr>
        <w:spacing w:before="0" w:after="120" w:line="240" w:lineRule="auto"/>
        <w:rPr>
          <w:szCs w:val="24"/>
        </w:rPr>
      </w:pPr>
      <w:r w:rsidRPr="007D4DDF">
        <w:rPr>
          <w:szCs w:val="24"/>
        </w:rPr>
        <w:t xml:space="preserve">However, evictions should not render individuals </w:t>
      </w:r>
      <w:r w:rsidR="00C34CEE">
        <w:rPr>
          <w:szCs w:val="24"/>
        </w:rPr>
        <w:t xml:space="preserve">becoming </w:t>
      </w:r>
      <w:r w:rsidRPr="007D4DDF">
        <w:rPr>
          <w:szCs w:val="24"/>
        </w:rPr>
        <w:t xml:space="preserve">homeless. Where those affected do not have the means to acquire alternative housing, States </w:t>
      </w:r>
      <w:r w:rsidR="006771D4" w:rsidRPr="007D4DDF">
        <w:rPr>
          <w:szCs w:val="24"/>
        </w:rPr>
        <w:t>P</w:t>
      </w:r>
      <w:r w:rsidRPr="007D4DDF">
        <w:rPr>
          <w:szCs w:val="24"/>
        </w:rPr>
        <w:t>arties must take all appropriate measures to ensure, where possible, that adequate alternative housing, resettlement or access to productive land, as the case may be, is available.</w:t>
      </w:r>
      <w:r w:rsidRPr="007D4DDF">
        <w:rPr>
          <w:rStyle w:val="FootnoteReference"/>
          <w:szCs w:val="24"/>
        </w:rPr>
        <w:footnoteReference w:id="71"/>
      </w:r>
      <w:r w:rsidRPr="007D4DDF">
        <w:rPr>
          <w:szCs w:val="24"/>
        </w:rPr>
        <w:t xml:space="preserve"> States </w:t>
      </w:r>
      <w:r w:rsidR="006771D4" w:rsidRPr="007D4DDF">
        <w:rPr>
          <w:szCs w:val="24"/>
        </w:rPr>
        <w:t>P</w:t>
      </w:r>
      <w:r w:rsidRPr="007D4DDF">
        <w:rPr>
          <w:szCs w:val="24"/>
        </w:rPr>
        <w:t xml:space="preserve">arties should pay particular attention to evictions that involve women, children, older persons, persons with disabilities or other vulnerable individuals or groups who are subject to systemic discrimination. The </w:t>
      </w:r>
      <w:r w:rsidR="00C245AB" w:rsidRPr="007D4DDF">
        <w:rPr>
          <w:szCs w:val="24"/>
        </w:rPr>
        <w:t xml:space="preserve">State Party </w:t>
      </w:r>
      <w:r w:rsidRPr="007D4DDF">
        <w:rPr>
          <w:szCs w:val="24"/>
        </w:rPr>
        <w:t xml:space="preserve">has a duty to take reasonable measures to provide alternative housing to persons who are left homeless as a result of </w:t>
      </w:r>
      <w:r w:rsidRPr="007D4DDF">
        <w:rPr>
          <w:szCs w:val="24"/>
        </w:rPr>
        <w:lastRenderedPageBreak/>
        <w:t>eviction, irrespective of whether the eviction is initiated by its authorities or by an individual</w:t>
      </w:r>
      <w:r w:rsidR="00C245AB" w:rsidRPr="007D4DDF">
        <w:rPr>
          <w:szCs w:val="24"/>
        </w:rPr>
        <w:t>,</w:t>
      </w:r>
      <w:r w:rsidRPr="007D4DDF">
        <w:rPr>
          <w:szCs w:val="24"/>
        </w:rPr>
        <w:t xml:space="preserve"> such as the lessor.</w:t>
      </w:r>
    </w:p>
    <w:p w14:paraId="60D0486F" w14:textId="77777777" w:rsidR="001A4592" w:rsidRPr="007D4DDF" w:rsidRDefault="00196196" w:rsidP="00777703">
      <w:pPr>
        <w:spacing w:before="0" w:after="120" w:line="240" w:lineRule="auto"/>
        <w:rPr>
          <w:szCs w:val="24"/>
        </w:rPr>
      </w:pPr>
      <w:r w:rsidRPr="007D4DDF">
        <w:rPr>
          <w:szCs w:val="24"/>
        </w:rPr>
        <w:t xml:space="preserve">The obligation to provide alternative housing to evicted persons who need it implies that, under Article 2 (1) ICESCR, </w:t>
      </w:r>
      <w:r w:rsidR="000D3DB0" w:rsidRPr="007D4DDF">
        <w:rPr>
          <w:szCs w:val="24"/>
        </w:rPr>
        <w:t>‘</w:t>
      </w:r>
      <w:r w:rsidRPr="007D4DDF">
        <w:rPr>
          <w:szCs w:val="24"/>
        </w:rPr>
        <w:t>States Parties must take all necessary steps, to the</w:t>
      </w:r>
      <w:r w:rsidR="00A30391" w:rsidRPr="007D4DDF">
        <w:rPr>
          <w:szCs w:val="24"/>
        </w:rPr>
        <w:t xml:space="preserve"> </w:t>
      </w:r>
      <w:r w:rsidRPr="007D4DDF">
        <w:rPr>
          <w:szCs w:val="24"/>
        </w:rPr>
        <w:t>maximum of their available resources, to uphold this right.</w:t>
      </w:r>
      <w:r w:rsidR="00434888" w:rsidRPr="007D4DDF">
        <w:rPr>
          <w:szCs w:val="24"/>
        </w:rPr>
        <w:t>’</w:t>
      </w:r>
      <w:r w:rsidRPr="007D4DDF">
        <w:rPr>
          <w:rStyle w:val="FootnoteReference"/>
          <w:szCs w:val="24"/>
        </w:rPr>
        <w:footnoteReference w:id="72"/>
      </w:r>
      <w:r w:rsidRPr="007D4DDF">
        <w:rPr>
          <w:szCs w:val="24"/>
        </w:rPr>
        <w:t xml:space="preserve"> States </w:t>
      </w:r>
      <w:r w:rsidR="006771D4" w:rsidRPr="007D4DDF">
        <w:rPr>
          <w:szCs w:val="24"/>
        </w:rPr>
        <w:t>P</w:t>
      </w:r>
      <w:r w:rsidRPr="007D4DDF">
        <w:rPr>
          <w:szCs w:val="24"/>
        </w:rPr>
        <w:t>arties can choose a variety of policies to achieve this purpose, including the establishment of housing subsidies for those unable to obtain affordable housing.</w:t>
      </w:r>
      <w:r w:rsidRPr="007D4DDF">
        <w:rPr>
          <w:rStyle w:val="FootnoteReference"/>
          <w:szCs w:val="24"/>
        </w:rPr>
        <w:footnoteReference w:id="73"/>
      </w:r>
      <w:r w:rsidRPr="007D4DDF">
        <w:rPr>
          <w:szCs w:val="24"/>
        </w:rPr>
        <w:t xml:space="preserve"> However, any measures adopted must be deliberate, specific and as straightforward as possible to fulfil this right</w:t>
      </w:r>
      <w:r w:rsidRPr="007D4DDF">
        <w:rPr>
          <w:rStyle w:val="FootnoteReference"/>
          <w:szCs w:val="24"/>
        </w:rPr>
        <w:footnoteReference w:id="74"/>
      </w:r>
      <w:r w:rsidRPr="007D4DDF">
        <w:rPr>
          <w:szCs w:val="24"/>
        </w:rPr>
        <w:t xml:space="preserve"> as swiftly and efficiently as possible. Policies on alternative housing in case of eviction should be commensurate with the need of those concerned and the urgency of the situation and should respect the dignity of the person. Moreover, States </w:t>
      </w:r>
      <w:r w:rsidR="006771D4" w:rsidRPr="007D4DDF">
        <w:rPr>
          <w:szCs w:val="24"/>
        </w:rPr>
        <w:t>P</w:t>
      </w:r>
      <w:r w:rsidRPr="007D4DDF">
        <w:rPr>
          <w:szCs w:val="24"/>
        </w:rPr>
        <w:t>arties should take consistent and coordinated measures to resolve institutional shortcomings and structural causes of the lack of housing.</w:t>
      </w:r>
      <w:r w:rsidRPr="007D4DDF">
        <w:rPr>
          <w:rStyle w:val="FootnoteReference"/>
          <w:szCs w:val="24"/>
        </w:rPr>
        <w:footnoteReference w:id="75"/>
      </w:r>
    </w:p>
    <w:p w14:paraId="3177A36A" w14:textId="77777777" w:rsidR="001A4592" w:rsidRPr="007D4DDF" w:rsidRDefault="00196196" w:rsidP="00395E14">
      <w:pPr>
        <w:spacing w:before="0" w:after="120" w:line="240" w:lineRule="auto"/>
        <w:rPr>
          <w:color w:val="000000"/>
          <w:szCs w:val="24"/>
        </w:rPr>
      </w:pPr>
      <w:r w:rsidRPr="007D4DDF">
        <w:rPr>
          <w:color w:val="000000"/>
          <w:szCs w:val="24"/>
        </w:rPr>
        <w:t xml:space="preserve">In 2015, the </w:t>
      </w:r>
      <w:r w:rsidR="001B798E" w:rsidRPr="007D4DDF">
        <w:rPr>
          <w:color w:val="000000"/>
          <w:szCs w:val="24"/>
        </w:rPr>
        <w:t>UN CESCR</w:t>
      </w:r>
      <w:r w:rsidRPr="007D4DDF">
        <w:rPr>
          <w:color w:val="000000"/>
          <w:szCs w:val="24"/>
        </w:rPr>
        <w:t xml:space="preserve"> stated that there are </w:t>
      </w:r>
      <w:r w:rsidR="0000263C" w:rsidRPr="007D4DDF">
        <w:rPr>
          <w:color w:val="000000"/>
          <w:szCs w:val="24"/>
        </w:rPr>
        <w:t>state</w:t>
      </w:r>
      <w:r w:rsidRPr="007D4DDF">
        <w:rPr>
          <w:color w:val="000000"/>
          <w:szCs w:val="24"/>
        </w:rPr>
        <w:t xml:space="preserve"> obligations to ensure the accessibility of legal remedies for persons facing mortgage enforcement procedures for failure to repay loans. States must adopt appropriate legislative measures to ensure that mortgage enforcement procedures contain appropriate safeguards before evictions take place, in accordance with the ICESCR and General Comment No 7.</w:t>
      </w:r>
      <w:r w:rsidRPr="007D4DDF">
        <w:rPr>
          <w:rStyle w:val="FootnoteReference"/>
          <w:color w:val="000000"/>
          <w:szCs w:val="24"/>
        </w:rPr>
        <w:footnoteReference w:id="76"/>
      </w:r>
      <w:r w:rsidRPr="007D4DDF">
        <w:rPr>
          <w:color w:val="000000"/>
          <w:szCs w:val="24"/>
        </w:rPr>
        <w:t xml:space="preserve"> It is significant that, in this case, inadequate notice of possession proceedings was held </w:t>
      </w:r>
      <w:r w:rsidR="00C245AB" w:rsidRPr="007D4DDF">
        <w:rPr>
          <w:color w:val="000000"/>
          <w:szCs w:val="24"/>
        </w:rPr>
        <w:t>to be</w:t>
      </w:r>
      <w:r w:rsidRPr="007D4DDF">
        <w:rPr>
          <w:color w:val="000000"/>
          <w:szCs w:val="24"/>
        </w:rPr>
        <w:t xml:space="preserve"> a violation of the right to housing.</w:t>
      </w:r>
      <w:r w:rsidRPr="007D4DDF">
        <w:rPr>
          <w:rStyle w:val="FootnoteReference"/>
          <w:color w:val="000000"/>
          <w:szCs w:val="24"/>
        </w:rPr>
        <w:footnoteReference w:id="77"/>
      </w:r>
    </w:p>
    <w:p w14:paraId="55C4F239" w14:textId="77777777" w:rsidR="00E47DC4" w:rsidRPr="007D4DDF" w:rsidRDefault="00196196" w:rsidP="00777703">
      <w:pPr>
        <w:spacing w:before="0" w:after="120" w:line="240" w:lineRule="auto"/>
        <w:rPr>
          <w:color w:val="000000"/>
          <w:szCs w:val="24"/>
        </w:rPr>
      </w:pPr>
      <w:r w:rsidRPr="007D4DDF">
        <w:rPr>
          <w:color w:val="000000"/>
          <w:szCs w:val="24"/>
        </w:rPr>
        <w:t>In a significant decision relating to eviction, the UN</w:t>
      </w:r>
      <w:r w:rsidR="009078E2" w:rsidRPr="007D4DDF">
        <w:rPr>
          <w:color w:val="000000"/>
          <w:szCs w:val="24"/>
        </w:rPr>
        <w:t xml:space="preserve"> </w:t>
      </w:r>
      <w:r w:rsidRPr="007D4DDF">
        <w:rPr>
          <w:color w:val="000000"/>
          <w:szCs w:val="24"/>
        </w:rPr>
        <w:t xml:space="preserve">CESCR, on a complaint under the Optional Protocol, held that an eviction in Spain without a guarantee of alternative housing by the authorities of the </w:t>
      </w:r>
      <w:r w:rsidR="00C245AB" w:rsidRPr="007D4DDF">
        <w:rPr>
          <w:color w:val="000000"/>
          <w:szCs w:val="24"/>
        </w:rPr>
        <w:t>State Party</w:t>
      </w:r>
      <w:r w:rsidRPr="007D4DDF">
        <w:rPr>
          <w:color w:val="000000"/>
          <w:szCs w:val="24"/>
        </w:rPr>
        <w:t>, constituted a violation of the right to adequate housing.</w:t>
      </w:r>
    </w:p>
    <w:p w14:paraId="7F8D50F1" w14:textId="77777777" w:rsidR="004F0C47" w:rsidRPr="007D4DDF" w:rsidRDefault="00196196" w:rsidP="00777703">
      <w:pPr>
        <w:spacing w:before="0" w:after="120" w:line="240" w:lineRule="auto"/>
        <w:rPr>
          <w:szCs w:val="24"/>
        </w:rPr>
      </w:pPr>
      <w:r w:rsidRPr="007D4DDF">
        <w:rPr>
          <w:szCs w:val="24"/>
          <w:lang w:eastAsia="en-US"/>
        </w:rPr>
        <w:t>The protection against forced evictions applies to persons living in rental housing.</w:t>
      </w:r>
      <w:r w:rsidR="00E47DC4" w:rsidRPr="007D4DDF">
        <w:rPr>
          <w:szCs w:val="24"/>
          <w:lang w:eastAsia="en-US"/>
        </w:rPr>
        <w:t xml:space="preserve"> </w:t>
      </w:r>
      <w:r w:rsidR="00210072" w:rsidRPr="007D4DDF">
        <w:rPr>
          <w:szCs w:val="24"/>
          <w:lang w:eastAsia="en-US"/>
        </w:rPr>
        <w:t>In t</w:t>
      </w:r>
      <w:r w:rsidR="00E47DC4" w:rsidRPr="007D4DDF">
        <w:rPr>
          <w:szCs w:val="24"/>
          <w:lang w:eastAsia="en-US"/>
        </w:rPr>
        <w:t xml:space="preserve">he case of </w:t>
      </w:r>
      <w:r w:rsidR="00E47DC4" w:rsidRPr="007D4DDF">
        <w:rPr>
          <w:i/>
          <w:szCs w:val="24"/>
        </w:rPr>
        <w:t xml:space="preserve">Mohamed Ben </w:t>
      </w:r>
      <w:proofErr w:type="spellStart"/>
      <w:r w:rsidR="00E47DC4" w:rsidRPr="007D4DDF">
        <w:rPr>
          <w:i/>
          <w:szCs w:val="24"/>
        </w:rPr>
        <w:t>Djazia</w:t>
      </w:r>
      <w:proofErr w:type="spellEnd"/>
      <w:r w:rsidR="00E47DC4" w:rsidRPr="007D4DDF">
        <w:rPr>
          <w:i/>
          <w:szCs w:val="24"/>
        </w:rPr>
        <w:t xml:space="preserve"> and </w:t>
      </w:r>
      <w:proofErr w:type="spellStart"/>
      <w:r w:rsidR="00E47DC4" w:rsidRPr="007D4DDF">
        <w:rPr>
          <w:i/>
          <w:szCs w:val="24"/>
        </w:rPr>
        <w:t>Naouel</w:t>
      </w:r>
      <w:proofErr w:type="spellEnd"/>
      <w:r w:rsidR="00E47DC4" w:rsidRPr="007D4DDF">
        <w:rPr>
          <w:i/>
          <w:szCs w:val="24"/>
        </w:rPr>
        <w:t xml:space="preserve"> </w:t>
      </w:r>
      <w:proofErr w:type="spellStart"/>
      <w:r w:rsidR="00E47DC4" w:rsidRPr="007D4DDF">
        <w:rPr>
          <w:i/>
          <w:szCs w:val="24"/>
        </w:rPr>
        <w:t>Bellili</w:t>
      </w:r>
      <w:proofErr w:type="spellEnd"/>
      <w:r w:rsidR="00E47DC4" w:rsidRPr="007D4DDF">
        <w:rPr>
          <w:i/>
          <w:szCs w:val="24"/>
        </w:rPr>
        <w:t xml:space="preserve"> v Spain</w:t>
      </w:r>
      <w:r w:rsidR="00210072" w:rsidRPr="007D4DDF">
        <w:rPr>
          <w:szCs w:val="24"/>
        </w:rPr>
        <w:t>,</w:t>
      </w:r>
      <w:r w:rsidR="00E47DC4" w:rsidRPr="007D4DDF">
        <w:rPr>
          <w:i/>
          <w:szCs w:val="24"/>
        </w:rPr>
        <w:t xml:space="preserve"> </w:t>
      </w:r>
      <w:r w:rsidR="00E47DC4" w:rsidRPr="007D4DDF">
        <w:rPr>
          <w:szCs w:val="24"/>
        </w:rPr>
        <w:t>the UN</w:t>
      </w:r>
      <w:r w:rsidR="00210072" w:rsidRPr="007D4DDF">
        <w:rPr>
          <w:szCs w:val="24"/>
        </w:rPr>
        <w:t xml:space="preserve"> </w:t>
      </w:r>
      <w:r w:rsidR="00E47DC4" w:rsidRPr="007D4DDF">
        <w:rPr>
          <w:szCs w:val="24"/>
        </w:rPr>
        <w:t xml:space="preserve">CESCR set out the </w:t>
      </w:r>
      <w:r w:rsidR="001E644C" w:rsidRPr="007D4DDF">
        <w:rPr>
          <w:szCs w:val="24"/>
        </w:rPr>
        <w:t>s</w:t>
      </w:r>
      <w:r w:rsidR="004F0C47" w:rsidRPr="007D4DDF">
        <w:rPr>
          <w:szCs w:val="24"/>
        </w:rPr>
        <w:t xml:space="preserve">tate obligations to ensure the horizontal nature of the protection against forced eviction, </w:t>
      </w:r>
      <w:proofErr w:type="spellStart"/>
      <w:proofErr w:type="gramStart"/>
      <w:r w:rsidR="004F0C47" w:rsidRPr="007D4DDF">
        <w:rPr>
          <w:szCs w:val="24"/>
        </w:rPr>
        <w:t>ie</w:t>
      </w:r>
      <w:proofErr w:type="spellEnd"/>
      <w:proofErr w:type="gramEnd"/>
      <w:r w:rsidR="004F0C47" w:rsidRPr="007D4DDF">
        <w:rPr>
          <w:szCs w:val="24"/>
        </w:rPr>
        <w:t xml:space="preserve"> the </w:t>
      </w:r>
      <w:r w:rsidR="001E644C" w:rsidRPr="007D4DDF">
        <w:rPr>
          <w:szCs w:val="24"/>
        </w:rPr>
        <w:t>s</w:t>
      </w:r>
      <w:r w:rsidR="004F0C47" w:rsidRPr="007D4DDF">
        <w:rPr>
          <w:szCs w:val="24"/>
        </w:rPr>
        <w:t xml:space="preserve">tate has a duty to ensure that the protection extends to relations </w:t>
      </w:r>
      <w:r w:rsidR="004F0C47" w:rsidRPr="007D4DDF">
        <w:rPr>
          <w:szCs w:val="24"/>
        </w:rPr>
        <w:lastRenderedPageBreak/>
        <w:t>between private individuals in eviction proceedings.</w:t>
      </w:r>
      <w:r w:rsidR="00C34CEE" w:rsidRPr="007D4DDF">
        <w:rPr>
          <w:rStyle w:val="FootnoteReference"/>
          <w:szCs w:val="24"/>
          <w:lang w:eastAsia="en-US"/>
        </w:rPr>
        <w:footnoteReference w:id="78"/>
      </w:r>
      <w:r w:rsidR="004F0C47" w:rsidRPr="007D4DDF">
        <w:rPr>
          <w:szCs w:val="24"/>
        </w:rPr>
        <w:t xml:space="preserve"> Significantly, the State Party contended that the eviction took place at the initiative of the lessor and that the state/judiciary intervened only as a mediator. However, the UN CESCR reiterated that the state’s duty to protect tenants involves taking measures to protect ICESCR rights, even when the action which undermined the right was in the first place carried out by an individual or a private entity. An eviction due to the expiry of the term of a rental contract is regarded as a dispute between individuals (lessor and lessee), in which the eviction is not directly initiated by the </w:t>
      </w:r>
      <w:r w:rsidR="0041060E" w:rsidRPr="007D4DDF">
        <w:rPr>
          <w:szCs w:val="24"/>
        </w:rPr>
        <w:t>s</w:t>
      </w:r>
      <w:r w:rsidR="004F0C47" w:rsidRPr="007D4DDF">
        <w:rPr>
          <w:szCs w:val="24"/>
        </w:rPr>
        <w:t>tate.</w:t>
      </w:r>
      <w:r w:rsidR="00DA7E20" w:rsidRPr="007D4DDF">
        <w:rPr>
          <w:szCs w:val="24"/>
        </w:rPr>
        <w:t xml:space="preserve"> </w:t>
      </w:r>
      <w:r w:rsidR="004F0C47" w:rsidRPr="007D4DDF">
        <w:rPr>
          <w:szCs w:val="24"/>
        </w:rPr>
        <w:t>Thus,</w:t>
      </w:r>
    </w:p>
    <w:p w14:paraId="6B671E64" w14:textId="38937E4F" w:rsidR="00210072" w:rsidRPr="007D4DDF" w:rsidRDefault="004F0C47" w:rsidP="00777703">
      <w:pPr>
        <w:spacing w:before="0" w:after="120" w:line="240" w:lineRule="auto"/>
        <w:ind w:left="720"/>
      </w:pPr>
      <w:r w:rsidRPr="007D4DDF">
        <w:rPr>
          <w:sz w:val="22"/>
        </w:rPr>
        <w:t>An eviction related to a rental contract between individuals can, therefore, involve Covenant rights. Accordingly, the State party’s argument that the communication deals with a dispute that is exclusively between individuals and therefore does not fall under the Covenant does not stand.</w:t>
      </w:r>
      <w:r w:rsidRPr="007D4DDF">
        <w:rPr>
          <w:rStyle w:val="FootnoteReference"/>
          <w:szCs w:val="24"/>
        </w:rPr>
        <w:footnoteReference w:id="79"/>
      </w:r>
    </w:p>
    <w:p w14:paraId="6E05D172" w14:textId="77777777" w:rsidR="004F0C47" w:rsidRPr="007D4DDF" w:rsidRDefault="004F0C47" w:rsidP="00777703">
      <w:pPr>
        <w:pStyle w:val="SingleTxtG"/>
        <w:spacing w:before="0" w:line="240" w:lineRule="auto"/>
        <w:ind w:left="0"/>
        <w:jc w:val="left"/>
        <w:rPr>
          <w:sz w:val="24"/>
          <w:szCs w:val="24"/>
        </w:rPr>
      </w:pPr>
      <w:r w:rsidRPr="007D4DDF">
        <w:rPr>
          <w:sz w:val="24"/>
          <w:szCs w:val="24"/>
        </w:rPr>
        <w:t>The UNCESCR stated that:</w:t>
      </w:r>
    </w:p>
    <w:p w14:paraId="7040EAA3" w14:textId="6C1A74AA" w:rsidR="004F0C47" w:rsidRPr="007D4DDF" w:rsidRDefault="00CB15CE" w:rsidP="00777703">
      <w:pPr>
        <w:pStyle w:val="SingleTxtG"/>
        <w:spacing w:before="0" w:line="240" w:lineRule="auto"/>
        <w:ind w:left="720"/>
        <w:jc w:val="left"/>
        <w:rPr>
          <w:sz w:val="24"/>
          <w:szCs w:val="24"/>
        </w:rPr>
      </w:pPr>
      <w:r w:rsidRPr="007D4DDF" w:rsidDel="00CB15CE">
        <w:rPr>
          <w:sz w:val="24"/>
          <w:szCs w:val="24"/>
        </w:rPr>
        <w:t xml:space="preserve"> </w:t>
      </w:r>
      <w:r w:rsidR="004F0C47" w:rsidRPr="007D4DDF">
        <w:rPr>
          <w:sz w:val="22"/>
          <w:szCs w:val="22"/>
        </w:rPr>
        <w:t xml:space="preserve">States parties do not only have the obligation to respect Covenant rights, </w:t>
      </w:r>
      <w:proofErr w:type="gramStart"/>
      <w:r w:rsidR="004F0C47" w:rsidRPr="007D4DDF">
        <w:rPr>
          <w:sz w:val="22"/>
          <w:szCs w:val="22"/>
        </w:rPr>
        <w:t>and,</w:t>
      </w:r>
      <w:proofErr w:type="gramEnd"/>
      <w:r w:rsidR="004F0C47" w:rsidRPr="007D4DDF">
        <w:rPr>
          <w:sz w:val="22"/>
          <w:szCs w:val="22"/>
        </w:rPr>
        <w:t xml:space="preserve"> it follows, to refrain from infringing them, but they also have the obligation to protect them by adopting measures to prevent the direct or indirect interference of individuals in the enjoyment of these rights. If a State party does not take appropriate measures to protect a Covenant right, it has a responsibility even when the action that undermined the right in the first place was carried out by an individual or a private entity. Thus, although the Covenant primarily establishes rights and obligations between the State and individuals, the scope of the provisions of the Covenant extends to relations between individuals. An eviction related to a rental contract between individuals can, therefore, involve Covenant rights. Accordingly, the State party’s argument that the communication deals with a dispute that is exclusively between individuals and therefore does not fall under the Covenant does not stand.</w:t>
      </w:r>
      <w:r w:rsidR="004F0C47" w:rsidRPr="007D4DDF">
        <w:rPr>
          <w:rStyle w:val="FootnoteReference"/>
          <w:sz w:val="24"/>
          <w:szCs w:val="24"/>
        </w:rPr>
        <w:footnoteReference w:id="80"/>
      </w:r>
    </w:p>
    <w:p w14:paraId="05766289" w14:textId="77777777" w:rsidR="001A4592" w:rsidRPr="007D4DDF" w:rsidRDefault="00196196" w:rsidP="00395E14">
      <w:pPr>
        <w:spacing w:before="0" w:after="120" w:line="240" w:lineRule="auto"/>
        <w:rPr>
          <w:szCs w:val="24"/>
        </w:rPr>
      </w:pPr>
      <w:r w:rsidRPr="007D4DDF">
        <w:rPr>
          <w:color w:val="000000"/>
          <w:szCs w:val="24"/>
        </w:rPr>
        <w:t>The UN</w:t>
      </w:r>
      <w:r w:rsidR="00BB1257" w:rsidRPr="007D4DDF">
        <w:rPr>
          <w:color w:val="000000"/>
          <w:szCs w:val="24"/>
        </w:rPr>
        <w:t xml:space="preserve"> </w:t>
      </w:r>
      <w:r w:rsidRPr="007D4DDF">
        <w:rPr>
          <w:color w:val="000000"/>
          <w:szCs w:val="24"/>
        </w:rPr>
        <w:t>CESCR held that in some circumstances</w:t>
      </w:r>
      <w:r w:rsidRPr="007D4DDF">
        <w:rPr>
          <w:szCs w:val="24"/>
        </w:rPr>
        <w:t xml:space="preserve"> the eviction of people living in rental accommodation may be compatible with the ICESCR, as long as the eviction is provided for by law, is carried out as a last resort, and that the persons concerned have had prior access to an effective judicial remedy in order to ascertain that the measure in question was duly justified. This could apply</w:t>
      </w:r>
      <w:r w:rsidR="0089683B" w:rsidRPr="007D4DDF">
        <w:rPr>
          <w:szCs w:val="24"/>
        </w:rPr>
        <w:t>,</w:t>
      </w:r>
      <w:r w:rsidRPr="007D4DDF">
        <w:rPr>
          <w:szCs w:val="24"/>
        </w:rPr>
        <w:t xml:space="preserve"> for example, in the case of persistent non-payment of rent, or of damage to rented property without just cause. In addition, there must be a real opportunity for genuine prior consultation between the authorities and the persons concerned, there must be no less onerous alternative means or measures available, and the persons concerned must not remain in or be exposed to a situation constituting a violation of other Covenant or human rights.</w:t>
      </w:r>
      <w:r w:rsidRPr="007D4DDF">
        <w:rPr>
          <w:rStyle w:val="FootnoteReference"/>
          <w:szCs w:val="24"/>
        </w:rPr>
        <w:footnoteReference w:id="81"/>
      </w:r>
    </w:p>
    <w:p w14:paraId="29AEC3DD" w14:textId="77777777" w:rsidR="004F0C47" w:rsidRPr="007D4DDF" w:rsidRDefault="004E064D" w:rsidP="00777703">
      <w:pPr>
        <w:pStyle w:val="Default"/>
        <w:spacing w:after="120"/>
        <w:rPr>
          <w:rFonts w:ascii="Times New Roman" w:hAnsi="Times New Roman" w:cs="Times New Roman"/>
          <w:lang w:val="en-GB"/>
        </w:rPr>
      </w:pPr>
      <w:r w:rsidRPr="007D4DDF">
        <w:rPr>
          <w:rFonts w:ascii="Times New Roman" w:hAnsi="Times New Roman" w:cs="Times New Roman"/>
          <w:lang w:val="en-GB"/>
        </w:rPr>
        <w:t xml:space="preserve">In 2015, UN Member States unanimously adopted the 2030 Agenda for Sustainable Development, grounded in the international human rights treaties, and the Sustainable </w:t>
      </w:r>
      <w:r w:rsidRPr="007D4DDF">
        <w:rPr>
          <w:rFonts w:ascii="Times New Roman" w:hAnsi="Times New Roman" w:cs="Times New Roman"/>
          <w:lang w:val="en-GB"/>
        </w:rPr>
        <w:lastRenderedPageBreak/>
        <w:t>Development Goals (SDG</w:t>
      </w:r>
      <w:r w:rsidR="00736882" w:rsidRPr="007D4DDF">
        <w:rPr>
          <w:rFonts w:ascii="Times New Roman" w:hAnsi="Times New Roman" w:cs="Times New Roman"/>
          <w:lang w:val="en-GB"/>
        </w:rPr>
        <w:t>s</w:t>
      </w:r>
      <w:r w:rsidRPr="007D4DDF">
        <w:rPr>
          <w:rFonts w:ascii="Times New Roman" w:hAnsi="Times New Roman" w:cs="Times New Roman"/>
          <w:lang w:val="en-GB"/>
        </w:rPr>
        <w:t>).</w:t>
      </w:r>
      <w:r w:rsidRPr="007D4DDF">
        <w:rPr>
          <w:rStyle w:val="FootnoteReference"/>
          <w:rFonts w:ascii="Times New Roman" w:hAnsi="Times New Roman" w:cs="Times New Roman"/>
          <w:lang w:val="en-GB"/>
        </w:rPr>
        <w:footnoteReference w:id="82"/>
      </w:r>
      <w:r w:rsidR="00035758" w:rsidRPr="007D4DDF">
        <w:rPr>
          <w:rFonts w:ascii="Times New Roman" w:hAnsi="Times New Roman" w:cs="Times New Roman"/>
          <w:lang w:val="en-GB"/>
        </w:rPr>
        <w:t xml:space="preserve"> </w:t>
      </w:r>
      <w:r w:rsidRPr="007D4DDF">
        <w:rPr>
          <w:rFonts w:ascii="Times New Roman" w:hAnsi="Times New Roman" w:cs="Times New Roman"/>
          <w:lang w:val="en-GB"/>
        </w:rPr>
        <w:t>S</w:t>
      </w:r>
      <w:r w:rsidR="004F0C47" w:rsidRPr="007D4DDF">
        <w:rPr>
          <w:rFonts w:ascii="Times New Roman" w:hAnsi="Times New Roman" w:cs="Times New Roman"/>
          <w:lang w:val="en-GB"/>
        </w:rPr>
        <w:t>t</w:t>
      </w:r>
      <w:r w:rsidRPr="007D4DDF">
        <w:rPr>
          <w:rFonts w:ascii="Times New Roman" w:hAnsi="Times New Roman" w:cs="Times New Roman"/>
          <w:lang w:val="en-GB"/>
        </w:rPr>
        <w:t>ates made an undertaking that by 2030, to ensure access for all to adequate, safe, and affordable housing and basic services and upgrade slums</w:t>
      </w:r>
      <w:r w:rsidR="009A2946" w:rsidRPr="007D4DDF">
        <w:rPr>
          <w:rFonts w:ascii="Times New Roman" w:hAnsi="Times New Roman" w:cs="Times New Roman"/>
          <w:lang w:val="en-GB"/>
        </w:rPr>
        <w:t xml:space="preserve">. While there is no direct reference to protection from eviction, the development of access to housing for all will be </w:t>
      </w:r>
      <w:r w:rsidR="00891718" w:rsidRPr="007D4DDF">
        <w:rPr>
          <w:rFonts w:ascii="Times New Roman" w:hAnsi="Times New Roman" w:cs="Times New Roman"/>
          <w:lang w:val="en-GB"/>
        </w:rPr>
        <w:t>a</w:t>
      </w:r>
      <w:r w:rsidR="00BE684F" w:rsidRPr="007D4DDF">
        <w:rPr>
          <w:rFonts w:ascii="Times New Roman" w:hAnsi="Times New Roman" w:cs="Times New Roman"/>
          <w:lang w:val="en-GB"/>
        </w:rPr>
        <w:t xml:space="preserve"> </w:t>
      </w:r>
      <w:r w:rsidR="009A2946" w:rsidRPr="007D4DDF">
        <w:rPr>
          <w:rFonts w:ascii="Times New Roman" w:hAnsi="Times New Roman" w:cs="Times New Roman"/>
          <w:lang w:val="en-GB"/>
        </w:rPr>
        <w:t>significant policy goal.</w:t>
      </w:r>
    </w:p>
    <w:p w14:paraId="309CC190" w14:textId="77777777" w:rsidR="004E064D" w:rsidRPr="007D4DDF" w:rsidRDefault="004E064D" w:rsidP="00777703">
      <w:pPr>
        <w:pStyle w:val="Default"/>
        <w:spacing w:after="120"/>
        <w:rPr>
          <w:rFonts w:ascii="Times New Roman" w:hAnsi="Times New Roman" w:cs="Times New Roman"/>
          <w:lang w:val="en-GB"/>
        </w:rPr>
      </w:pPr>
      <w:r w:rsidRPr="007D4DDF">
        <w:rPr>
          <w:rFonts w:ascii="Times New Roman" w:hAnsi="Times New Roman" w:cs="Times New Roman"/>
          <w:lang w:val="en-GB"/>
        </w:rPr>
        <w:t xml:space="preserve"> </w:t>
      </w:r>
    </w:p>
    <w:p w14:paraId="08BA87B5" w14:textId="45A96787" w:rsidR="001A4592" w:rsidRPr="007D4DDF" w:rsidRDefault="00D6323A" w:rsidP="00777703">
      <w:pPr>
        <w:pStyle w:val="Heading3"/>
        <w:spacing w:before="0" w:after="120" w:line="240" w:lineRule="auto"/>
        <w:ind w:left="1134" w:hanging="1134"/>
        <w:rPr>
          <w:rFonts w:ascii="Times New Roman" w:hAnsi="Times New Roman"/>
        </w:rPr>
      </w:pPr>
      <w:bookmarkStart w:id="13" w:name="_Toc508191201"/>
      <w:r w:rsidRPr="007D4DDF">
        <w:rPr>
          <w:rFonts w:ascii="Times New Roman" w:hAnsi="Times New Roman"/>
        </w:rPr>
        <w:t>4.3</w:t>
      </w:r>
      <w:r w:rsidR="006E160F">
        <w:rPr>
          <w:rFonts w:ascii="Times New Roman" w:hAnsi="Times New Roman"/>
        </w:rPr>
        <w:t xml:space="preserve">. </w:t>
      </w:r>
      <w:r w:rsidR="00B16295" w:rsidRPr="007D4DDF">
        <w:rPr>
          <w:rFonts w:ascii="Times New Roman" w:hAnsi="Times New Roman"/>
        </w:rPr>
        <w:t xml:space="preserve">Housing </w:t>
      </w:r>
      <w:r w:rsidR="008067ED" w:rsidRPr="007D4DDF">
        <w:rPr>
          <w:rFonts w:ascii="Times New Roman" w:hAnsi="Times New Roman"/>
        </w:rPr>
        <w:t>R</w:t>
      </w:r>
      <w:r w:rsidR="00B16295" w:rsidRPr="007D4DDF">
        <w:rPr>
          <w:rFonts w:ascii="Times New Roman" w:hAnsi="Times New Roman"/>
        </w:rPr>
        <w:t xml:space="preserve">ights and the </w:t>
      </w:r>
      <w:r w:rsidR="00196196" w:rsidRPr="007D4DDF">
        <w:rPr>
          <w:rFonts w:ascii="Times New Roman" w:hAnsi="Times New Roman"/>
        </w:rPr>
        <w:t>Council of Europe</w:t>
      </w:r>
      <w:bookmarkEnd w:id="13"/>
    </w:p>
    <w:p w14:paraId="76F4EEC9" w14:textId="77777777" w:rsidR="001A4592" w:rsidRPr="007D4DDF" w:rsidRDefault="00196196" w:rsidP="00395E14">
      <w:pPr>
        <w:spacing w:before="0" w:after="120" w:line="240" w:lineRule="auto"/>
        <w:rPr>
          <w:szCs w:val="24"/>
          <w:lang w:eastAsia="en-US"/>
        </w:rPr>
      </w:pPr>
      <w:r w:rsidRPr="007D4DDF">
        <w:rPr>
          <w:color w:val="000000"/>
          <w:szCs w:val="24"/>
        </w:rPr>
        <w:t xml:space="preserve">All European countries have accepted </w:t>
      </w:r>
      <w:r w:rsidR="0089683B" w:rsidRPr="007D4DDF">
        <w:rPr>
          <w:color w:val="000000"/>
          <w:szCs w:val="24"/>
        </w:rPr>
        <w:t xml:space="preserve">the </w:t>
      </w:r>
      <w:r w:rsidRPr="007D4DDF">
        <w:rPr>
          <w:color w:val="000000"/>
          <w:szCs w:val="24"/>
        </w:rPr>
        <w:t>European Social Charter and Revised Charter of the Council of Europe.</w:t>
      </w:r>
      <w:r w:rsidRPr="007D4DDF">
        <w:rPr>
          <w:rStyle w:val="FootnoteReference"/>
          <w:color w:val="000000"/>
          <w:szCs w:val="24"/>
        </w:rPr>
        <w:footnoteReference w:id="83"/>
      </w:r>
      <w:r w:rsidRPr="007D4DDF">
        <w:rPr>
          <w:color w:val="000000"/>
          <w:szCs w:val="24"/>
        </w:rPr>
        <w:t xml:space="preserve"> The European Committee on Social Rights of the Council of Europe </w:t>
      </w:r>
      <w:r w:rsidR="001D4084" w:rsidRPr="007D4DDF">
        <w:rPr>
          <w:color w:val="000000"/>
          <w:szCs w:val="24"/>
        </w:rPr>
        <w:t xml:space="preserve">(COE, ECSR) </w:t>
      </w:r>
      <w:r w:rsidRPr="007D4DDF">
        <w:rPr>
          <w:color w:val="000000"/>
          <w:szCs w:val="24"/>
        </w:rPr>
        <w:t>has stated that evictions are subject to a range of human rights standards.</w:t>
      </w:r>
      <w:r w:rsidRPr="007D4DDF">
        <w:rPr>
          <w:rStyle w:val="FootnoteReference"/>
          <w:color w:val="000000"/>
          <w:szCs w:val="24"/>
        </w:rPr>
        <w:footnoteReference w:id="84"/>
      </w:r>
      <w:r w:rsidRPr="007D4DDF">
        <w:rPr>
          <w:color w:val="000000"/>
          <w:szCs w:val="24"/>
        </w:rPr>
        <w:t xml:space="preserve"> </w:t>
      </w:r>
      <w:r w:rsidRPr="007D4DDF">
        <w:rPr>
          <w:szCs w:val="24"/>
          <w:lang w:eastAsia="en-US"/>
        </w:rPr>
        <w:t>States must take action to prevent categories of vulnerable pe</w:t>
      </w:r>
      <w:r w:rsidR="007E02CE" w:rsidRPr="007D4DDF">
        <w:rPr>
          <w:szCs w:val="24"/>
          <w:lang w:eastAsia="en-US"/>
        </w:rPr>
        <w:t>rsons</w:t>
      </w:r>
      <w:r w:rsidRPr="007D4DDF">
        <w:rPr>
          <w:szCs w:val="24"/>
          <w:lang w:eastAsia="en-US"/>
        </w:rPr>
        <w:t xml:space="preserve"> from becoming homeless. While illegal occupation of a site or dwelling may justify the eviction of the illegal occupants, the criteria of illegal occupation must not be unduly wide. The eviction should be governed by rules of procedure sufficiently protective of the rights of the persons concerned and should be carried out according to these rules.</w:t>
      </w:r>
      <w:r w:rsidRPr="007D4DDF">
        <w:rPr>
          <w:rStyle w:val="FootnoteReference"/>
          <w:szCs w:val="24"/>
        </w:rPr>
        <w:footnoteReference w:id="85"/>
      </w:r>
    </w:p>
    <w:p w14:paraId="2D799287" w14:textId="77777777" w:rsidR="001A4592" w:rsidRPr="007D4DDF" w:rsidRDefault="00196196" w:rsidP="00777703">
      <w:pPr>
        <w:spacing w:before="0" w:after="120" w:line="240" w:lineRule="auto"/>
        <w:rPr>
          <w:szCs w:val="24"/>
          <w:lang w:eastAsia="en-US"/>
        </w:rPr>
      </w:pPr>
      <w:r w:rsidRPr="007D4DDF">
        <w:rPr>
          <w:szCs w:val="24"/>
          <w:lang w:eastAsia="en-US"/>
        </w:rPr>
        <w:t>Legal protection for persons threatened by eviction must include, in particular, an obligation to consult the parties affected, in order to find alternative solutions to eviction and the obligation to fix a reasonable notice period before eviction. When evictions do take place, they must be carried out under conditions which respect the dignity of the persons concerned. The law must prohibit evictions carried out at night or during the winter period. When an eviction is justified by the public interest, authorities must adopt measures to re</w:t>
      </w:r>
      <w:r w:rsidR="006771D4" w:rsidRPr="007D4DDF">
        <w:rPr>
          <w:szCs w:val="24"/>
          <w:lang w:eastAsia="en-US"/>
        </w:rPr>
        <w:t>house</w:t>
      </w:r>
      <w:r w:rsidRPr="007D4DDF">
        <w:rPr>
          <w:szCs w:val="24"/>
          <w:lang w:eastAsia="en-US"/>
        </w:rPr>
        <w:t xml:space="preserve"> or financially assist the persons concerned.</w:t>
      </w:r>
      <w:r w:rsidRPr="007D4DDF">
        <w:rPr>
          <w:rStyle w:val="FootnoteReference"/>
          <w:szCs w:val="24"/>
        </w:rPr>
        <w:footnoteReference w:id="86"/>
      </w:r>
      <w:r w:rsidRPr="007D4DDF">
        <w:rPr>
          <w:szCs w:val="24"/>
          <w:lang w:eastAsia="en-US"/>
        </w:rPr>
        <w:t xml:space="preserve"> Domestic law must provide legal remedies and offer legal aid to those who need </w:t>
      </w:r>
      <w:r w:rsidR="00F510A6" w:rsidRPr="007D4DDF">
        <w:rPr>
          <w:szCs w:val="24"/>
          <w:lang w:eastAsia="en-US"/>
        </w:rPr>
        <w:t xml:space="preserve">to </w:t>
      </w:r>
      <w:r w:rsidRPr="007D4DDF">
        <w:rPr>
          <w:szCs w:val="24"/>
          <w:lang w:eastAsia="en-US"/>
        </w:rPr>
        <w:t>seek redress from the courts. Compensation for illegal evictions must also be provided.</w:t>
      </w:r>
      <w:r w:rsidRPr="007D4DDF">
        <w:rPr>
          <w:rStyle w:val="FootnoteReference"/>
          <w:szCs w:val="24"/>
        </w:rPr>
        <w:footnoteReference w:id="87"/>
      </w:r>
    </w:p>
    <w:p w14:paraId="2BF7021C" w14:textId="77777777" w:rsidR="001A4592" w:rsidRPr="007D4DDF" w:rsidRDefault="00196196" w:rsidP="00777703">
      <w:pPr>
        <w:spacing w:before="0" w:after="120" w:line="240" w:lineRule="auto"/>
        <w:rPr>
          <w:color w:val="000000"/>
          <w:szCs w:val="24"/>
        </w:rPr>
      </w:pPr>
      <w:r w:rsidRPr="007D4DDF">
        <w:rPr>
          <w:color w:val="000000"/>
          <w:szCs w:val="24"/>
        </w:rPr>
        <w:t xml:space="preserve">The European Convention on Human Rights (ECHR), as adopted by all European countries, requires respect for the rights to </w:t>
      </w:r>
      <w:r w:rsidR="00A922C8" w:rsidRPr="007D4DDF">
        <w:rPr>
          <w:color w:val="000000"/>
          <w:szCs w:val="24"/>
        </w:rPr>
        <w:t>‘</w:t>
      </w:r>
      <w:r w:rsidRPr="007D4DDF">
        <w:rPr>
          <w:color w:val="000000"/>
          <w:szCs w:val="24"/>
        </w:rPr>
        <w:t>home</w:t>
      </w:r>
      <w:r w:rsidR="00A922C8" w:rsidRPr="007D4DDF">
        <w:rPr>
          <w:color w:val="000000"/>
          <w:szCs w:val="24"/>
        </w:rPr>
        <w:t>’</w:t>
      </w:r>
      <w:r w:rsidRPr="007D4DDF">
        <w:rPr>
          <w:color w:val="000000"/>
          <w:szCs w:val="24"/>
        </w:rPr>
        <w:t xml:space="preserve">, and proper justification and a </w:t>
      </w:r>
      <w:r w:rsidR="00A922C8" w:rsidRPr="007D4DDF">
        <w:rPr>
          <w:color w:val="000000"/>
          <w:szCs w:val="24"/>
        </w:rPr>
        <w:t>‘</w:t>
      </w:r>
      <w:r w:rsidRPr="007D4DDF">
        <w:rPr>
          <w:color w:val="000000"/>
          <w:szCs w:val="24"/>
        </w:rPr>
        <w:t>pressing social need</w:t>
      </w:r>
      <w:r w:rsidR="00A922C8" w:rsidRPr="007D4DDF">
        <w:rPr>
          <w:color w:val="000000"/>
          <w:szCs w:val="24"/>
        </w:rPr>
        <w:t>’</w:t>
      </w:r>
      <w:r w:rsidRPr="007D4DDF">
        <w:rPr>
          <w:color w:val="000000"/>
          <w:szCs w:val="24"/>
        </w:rPr>
        <w:t xml:space="preserve"> for an eviction, which must be proportionate to the legal aim pursued.</w:t>
      </w:r>
      <w:r w:rsidRPr="007D4DDF">
        <w:rPr>
          <w:rStyle w:val="FootnoteReference"/>
          <w:color w:val="000000"/>
          <w:szCs w:val="24"/>
        </w:rPr>
        <w:footnoteReference w:id="88"/>
      </w:r>
      <w:r w:rsidRPr="007D4DDF">
        <w:rPr>
          <w:color w:val="000000"/>
          <w:szCs w:val="24"/>
        </w:rPr>
        <w:t xml:space="preserve"> Evictions which impact on people’s dignity and cause inhuman and </w:t>
      </w:r>
      <w:r w:rsidRPr="007D4DDF">
        <w:rPr>
          <w:color w:val="000000"/>
          <w:szCs w:val="24"/>
        </w:rPr>
        <w:lastRenderedPageBreak/>
        <w:t>degrading treatment are regarded as violating the ECHR.</w:t>
      </w:r>
      <w:r w:rsidR="00CA1624" w:rsidRPr="007D4DDF">
        <w:rPr>
          <w:rStyle w:val="FootnoteReference"/>
          <w:color w:val="000000"/>
          <w:szCs w:val="24"/>
        </w:rPr>
        <w:footnoteReference w:id="89"/>
      </w:r>
      <w:r w:rsidRPr="007D4DDF">
        <w:rPr>
          <w:color w:val="000000"/>
          <w:szCs w:val="24"/>
        </w:rPr>
        <w:t xml:space="preserve"> The European Court of Human Rights </w:t>
      </w:r>
      <w:r w:rsidR="00793DDB" w:rsidRPr="007D4DDF">
        <w:rPr>
          <w:color w:val="000000"/>
          <w:szCs w:val="24"/>
        </w:rPr>
        <w:t xml:space="preserve">(ECtHR) </w:t>
      </w:r>
      <w:r w:rsidRPr="007D4DDF">
        <w:rPr>
          <w:color w:val="000000"/>
          <w:szCs w:val="24"/>
        </w:rPr>
        <w:t>found that the living conditions and racial discrimination to which a family was publicly subjected after eviction</w:t>
      </w:r>
      <w:r w:rsidR="00210072" w:rsidRPr="007D4DDF">
        <w:rPr>
          <w:color w:val="000000"/>
          <w:szCs w:val="24"/>
        </w:rPr>
        <w:t>,</w:t>
      </w:r>
      <w:r w:rsidRPr="007D4DDF">
        <w:rPr>
          <w:color w:val="000000"/>
          <w:szCs w:val="24"/>
        </w:rPr>
        <w:t xml:space="preserve"> constituted an interference with their human dignity amounting to </w:t>
      </w:r>
      <w:r w:rsidR="007F19D7" w:rsidRPr="007D4DDF">
        <w:rPr>
          <w:color w:val="000000"/>
          <w:szCs w:val="24"/>
        </w:rPr>
        <w:t>‘</w:t>
      </w:r>
      <w:r w:rsidRPr="007D4DDF">
        <w:rPr>
          <w:color w:val="000000"/>
          <w:szCs w:val="24"/>
        </w:rPr>
        <w:t>degrading treatment</w:t>
      </w:r>
      <w:r w:rsidR="007F19D7" w:rsidRPr="007D4DDF">
        <w:rPr>
          <w:color w:val="000000"/>
          <w:szCs w:val="24"/>
        </w:rPr>
        <w:t>’</w:t>
      </w:r>
      <w:r w:rsidRPr="007D4DDF">
        <w:rPr>
          <w:color w:val="000000"/>
          <w:szCs w:val="24"/>
        </w:rPr>
        <w:t>.</w:t>
      </w:r>
      <w:r w:rsidRPr="007D4DDF">
        <w:rPr>
          <w:rStyle w:val="FootnoteReference"/>
          <w:color w:val="000000"/>
          <w:szCs w:val="24"/>
        </w:rPr>
        <w:footnoteReference w:id="90"/>
      </w:r>
    </w:p>
    <w:p w14:paraId="3E18C76F" w14:textId="77777777" w:rsidR="001A4592" w:rsidRPr="007D4DDF" w:rsidRDefault="00196196" w:rsidP="00777703">
      <w:pPr>
        <w:spacing w:before="0" w:after="120" w:line="240" w:lineRule="auto"/>
        <w:rPr>
          <w:szCs w:val="24"/>
        </w:rPr>
      </w:pPr>
      <w:r w:rsidRPr="007D4DDF">
        <w:rPr>
          <w:szCs w:val="24"/>
        </w:rPr>
        <w:t>The application of Article 8 ECHR on the right to respect for privacy, home and family life is creating a common European standard in relation to loss of home or repossession. The EC</w:t>
      </w:r>
      <w:r w:rsidR="00F07F0C" w:rsidRPr="007D4DDF">
        <w:rPr>
          <w:szCs w:val="24"/>
        </w:rPr>
        <w:t>t</w:t>
      </w:r>
      <w:r w:rsidRPr="007D4DDF">
        <w:rPr>
          <w:szCs w:val="24"/>
        </w:rPr>
        <w:t>HR has held:</w:t>
      </w:r>
    </w:p>
    <w:p w14:paraId="57A7D04E" w14:textId="773CA7FC" w:rsidR="001A4592" w:rsidRPr="007D4DDF" w:rsidRDefault="00196196" w:rsidP="00777703">
      <w:pPr>
        <w:widowControl w:val="0"/>
        <w:autoSpaceDE w:val="0"/>
        <w:autoSpaceDN w:val="0"/>
        <w:adjustRightInd w:val="0"/>
        <w:spacing w:before="0" w:after="120" w:line="240" w:lineRule="auto"/>
        <w:ind w:left="720"/>
        <w:rPr>
          <w:szCs w:val="24"/>
        </w:rPr>
      </w:pPr>
      <w:r w:rsidRPr="007D4DDF">
        <w:rPr>
          <w:sz w:val="22"/>
        </w:rPr>
        <w:t>The loss of one’s home is a most extreme form of interference with the right to respect for the home. Any person at risk of an interference of this magnitude should in principle be able to have the proportionality of the measure determined by an independent tribunal in the light of the relevant principles under Article 8 of the Convention, notwithstanding that, under domestic law, his right of occupation has come to an end.</w:t>
      </w:r>
      <w:r w:rsidRPr="007D4DDF">
        <w:rPr>
          <w:rStyle w:val="FootnoteReference"/>
          <w:szCs w:val="24"/>
        </w:rPr>
        <w:footnoteReference w:id="91"/>
      </w:r>
    </w:p>
    <w:p w14:paraId="5BEF1827" w14:textId="77777777" w:rsidR="001A4592" w:rsidRPr="007D4DDF" w:rsidRDefault="00196196" w:rsidP="00777703">
      <w:pPr>
        <w:pStyle w:val="JuPara"/>
        <w:spacing w:before="0" w:after="120" w:line="240" w:lineRule="auto"/>
        <w:ind w:firstLine="0"/>
        <w:jc w:val="left"/>
        <w:rPr>
          <w:rStyle w:val="sb8d990e2"/>
          <w:color w:val="000000"/>
          <w:szCs w:val="24"/>
        </w:rPr>
      </w:pPr>
      <w:r w:rsidRPr="007D4DDF">
        <w:rPr>
          <w:szCs w:val="24"/>
        </w:rPr>
        <w:t xml:space="preserve">These </w:t>
      </w:r>
      <w:r w:rsidR="00F865F5" w:rsidRPr="007D4DDF">
        <w:rPr>
          <w:szCs w:val="24"/>
        </w:rPr>
        <w:t>‘</w:t>
      </w:r>
      <w:r w:rsidRPr="007D4DDF">
        <w:rPr>
          <w:szCs w:val="24"/>
        </w:rPr>
        <w:t>proportionality</w:t>
      </w:r>
      <w:r w:rsidR="00F865F5" w:rsidRPr="007D4DDF">
        <w:rPr>
          <w:szCs w:val="24"/>
        </w:rPr>
        <w:t>’</w:t>
      </w:r>
      <w:r w:rsidRPr="007D4DDF">
        <w:rPr>
          <w:szCs w:val="24"/>
        </w:rPr>
        <w:t xml:space="preserve"> questions arising from Article 8 ECHR housing</w:t>
      </w:r>
      <w:r w:rsidR="00112951" w:rsidRPr="007D4DDF">
        <w:rPr>
          <w:szCs w:val="24"/>
        </w:rPr>
        <w:t>-</w:t>
      </w:r>
      <w:r w:rsidRPr="007D4DDF">
        <w:rPr>
          <w:szCs w:val="24"/>
        </w:rPr>
        <w:t xml:space="preserve">related issues were more elaborately defined in </w:t>
      </w:r>
      <w:proofErr w:type="spellStart"/>
      <w:r w:rsidRPr="007D4DDF">
        <w:rPr>
          <w:i/>
          <w:color w:val="000000"/>
          <w:szCs w:val="24"/>
        </w:rPr>
        <w:t>Yordanova</w:t>
      </w:r>
      <w:proofErr w:type="spellEnd"/>
      <w:r w:rsidRPr="007D4DDF">
        <w:rPr>
          <w:i/>
          <w:color w:val="000000"/>
          <w:szCs w:val="24"/>
        </w:rPr>
        <w:t xml:space="preserve"> and Others v Bulgaria.</w:t>
      </w:r>
      <w:r w:rsidRPr="007D4DDF">
        <w:rPr>
          <w:rStyle w:val="FootnoteReference"/>
          <w:color w:val="000000"/>
          <w:szCs w:val="24"/>
        </w:rPr>
        <w:footnoteReference w:id="92"/>
      </w:r>
      <w:r w:rsidRPr="007D4DDF">
        <w:rPr>
          <w:color w:val="000000"/>
          <w:szCs w:val="24"/>
        </w:rPr>
        <w:t xml:space="preserve"> Assuming the eviction measures are legally permitted, on the question as to whether the interference is </w:t>
      </w:r>
      <w:r w:rsidR="00F865F5" w:rsidRPr="007D4DDF">
        <w:rPr>
          <w:rStyle w:val="sb8d990e2"/>
          <w:color w:val="000000"/>
          <w:szCs w:val="24"/>
        </w:rPr>
        <w:t>‘</w:t>
      </w:r>
      <w:r w:rsidRPr="007D4DDF">
        <w:rPr>
          <w:rStyle w:val="sb8d990e2"/>
          <w:color w:val="000000"/>
          <w:szCs w:val="24"/>
        </w:rPr>
        <w:t>necessary in a democratic society</w:t>
      </w:r>
      <w:r w:rsidR="00F865F5" w:rsidRPr="007D4DDF">
        <w:rPr>
          <w:rStyle w:val="sb8d990e2"/>
          <w:color w:val="000000"/>
          <w:szCs w:val="24"/>
        </w:rPr>
        <w:t>’</w:t>
      </w:r>
      <w:r w:rsidRPr="007D4DDF">
        <w:rPr>
          <w:rStyle w:val="sb8d990e2"/>
          <w:color w:val="000000"/>
          <w:szCs w:val="24"/>
        </w:rPr>
        <w:t xml:space="preserve"> the ECtHR held:</w:t>
      </w:r>
    </w:p>
    <w:p w14:paraId="7E7E6582" w14:textId="041A91A4" w:rsidR="001A4592" w:rsidRPr="007D4DDF" w:rsidRDefault="00196196" w:rsidP="00777703">
      <w:pPr>
        <w:pStyle w:val="JuPara"/>
        <w:spacing w:before="0" w:after="120" w:line="240" w:lineRule="auto"/>
        <w:ind w:left="720" w:firstLine="0"/>
        <w:jc w:val="left"/>
        <w:rPr>
          <w:rStyle w:val="sb8d990e2"/>
          <w:color w:val="000000"/>
          <w:szCs w:val="24"/>
        </w:rPr>
      </w:pPr>
      <w:r w:rsidRPr="007D4DDF">
        <w:rPr>
          <w:sz w:val="22"/>
          <w:szCs w:val="22"/>
        </w:rPr>
        <w:t xml:space="preserve">An interference will be considered </w:t>
      </w:r>
      <w:r w:rsidR="002F1068" w:rsidRPr="007D4DDF">
        <w:rPr>
          <w:sz w:val="22"/>
          <w:szCs w:val="22"/>
        </w:rPr>
        <w:t>‘</w:t>
      </w:r>
      <w:r w:rsidRPr="007D4DDF">
        <w:rPr>
          <w:sz w:val="22"/>
          <w:szCs w:val="22"/>
        </w:rPr>
        <w:t xml:space="preserve">necessary in a democratic </w:t>
      </w:r>
      <w:r w:rsidR="00D84641" w:rsidRPr="007D4DDF">
        <w:rPr>
          <w:sz w:val="22"/>
          <w:szCs w:val="22"/>
        </w:rPr>
        <w:t>society</w:t>
      </w:r>
      <w:r w:rsidR="002F1068" w:rsidRPr="007D4DDF">
        <w:rPr>
          <w:sz w:val="22"/>
          <w:szCs w:val="22"/>
        </w:rPr>
        <w:t>’</w:t>
      </w:r>
      <w:r w:rsidR="00D84641" w:rsidRPr="007D4DDF">
        <w:rPr>
          <w:sz w:val="22"/>
          <w:szCs w:val="22"/>
        </w:rPr>
        <w:t xml:space="preserve"> </w:t>
      </w:r>
      <w:r w:rsidRPr="007D4DDF">
        <w:rPr>
          <w:sz w:val="22"/>
          <w:szCs w:val="22"/>
        </w:rPr>
        <w:t xml:space="preserve">for a legitimate aim if it answers a </w:t>
      </w:r>
      <w:r w:rsidR="002F1068" w:rsidRPr="007D4DDF">
        <w:rPr>
          <w:sz w:val="22"/>
          <w:szCs w:val="22"/>
        </w:rPr>
        <w:t>‘</w:t>
      </w:r>
      <w:r w:rsidRPr="007D4DDF">
        <w:rPr>
          <w:sz w:val="22"/>
          <w:szCs w:val="22"/>
        </w:rPr>
        <w:t>pressing social need</w:t>
      </w:r>
      <w:r w:rsidR="002F1068" w:rsidRPr="007D4DDF">
        <w:rPr>
          <w:sz w:val="22"/>
          <w:szCs w:val="22"/>
        </w:rPr>
        <w:t>’</w:t>
      </w:r>
      <w:r w:rsidRPr="007D4DDF">
        <w:rPr>
          <w:sz w:val="22"/>
          <w:szCs w:val="22"/>
        </w:rPr>
        <w:t xml:space="preserve"> and, in particular, if it is proportionate to the legitimate aim pursued. While it is for the national authorities to make the initial assessment of necessity, the final evaluation as to whether the reasons cited for the interference are relevant and sufficient remains subject to review by the Court for conformity with the requirements of the Convention (see, among other authorities, </w:t>
      </w:r>
      <w:r w:rsidRPr="007D4DDF">
        <w:rPr>
          <w:i/>
          <w:sz w:val="22"/>
          <w:szCs w:val="22"/>
        </w:rPr>
        <w:t>Smith and Grady v. the United Kingdom</w:t>
      </w:r>
      <w:r w:rsidRPr="007D4DDF">
        <w:rPr>
          <w:sz w:val="22"/>
          <w:szCs w:val="22"/>
        </w:rPr>
        <w:t>, nos. 33985/96 and 33986/96, 27 September 1999, §§ 88, ECHR 1999-VI).</w:t>
      </w:r>
      <w:r w:rsidRPr="007D4DDF">
        <w:rPr>
          <w:rStyle w:val="FootnoteReference"/>
          <w:szCs w:val="24"/>
        </w:rPr>
        <w:footnoteReference w:id="93"/>
      </w:r>
      <w:r w:rsidR="00F865F5" w:rsidRPr="007D4DDF">
        <w:rPr>
          <w:szCs w:val="24"/>
        </w:rPr>
        <w:t xml:space="preserve"> </w:t>
      </w:r>
    </w:p>
    <w:p w14:paraId="44567127" w14:textId="77777777" w:rsidR="001A4592" w:rsidRPr="007D4DDF" w:rsidRDefault="00196196" w:rsidP="00777703">
      <w:pPr>
        <w:pStyle w:val="JuPara"/>
        <w:spacing w:before="0" w:after="120" w:line="240" w:lineRule="auto"/>
        <w:ind w:firstLine="0"/>
        <w:jc w:val="left"/>
        <w:rPr>
          <w:szCs w:val="24"/>
        </w:rPr>
      </w:pPr>
      <w:r w:rsidRPr="007D4DDF">
        <w:rPr>
          <w:rStyle w:val="sb8d990e2"/>
          <w:color w:val="000000"/>
          <w:szCs w:val="24"/>
        </w:rPr>
        <w:t>While a margin of appreciation is left to the national authorities, this margin will vary according to the nature of the ECHR rights at issue. Th</w:t>
      </w:r>
      <w:r w:rsidRPr="007D4DDF">
        <w:rPr>
          <w:szCs w:val="24"/>
        </w:rPr>
        <w:t>e margin of appreciation left to the national authorities will tend to be narrower where the right at stake is crucial to the individual’s effective enjoyment of intimate or key rights.</w:t>
      </w:r>
      <w:r w:rsidRPr="007D4DDF">
        <w:rPr>
          <w:rStyle w:val="FootnoteReference"/>
          <w:szCs w:val="24"/>
        </w:rPr>
        <w:footnoteReference w:id="94"/>
      </w:r>
    </w:p>
    <w:p w14:paraId="433FD137" w14:textId="02CDA8A1" w:rsidR="00A30391" w:rsidRPr="007D4DDF" w:rsidRDefault="00037E41" w:rsidP="00777703">
      <w:pPr>
        <w:pStyle w:val="JuPara"/>
        <w:spacing w:before="0" w:after="120" w:line="240" w:lineRule="auto"/>
        <w:ind w:left="709" w:firstLine="0"/>
        <w:jc w:val="left"/>
        <w:rPr>
          <w:szCs w:val="24"/>
        </w:rPr>
      </w:pPr>
      <w:r w:rsidRPr="007D4DDF">
        <w:rPr>
          <w:sz w:val="22"/>
          <w:szCs w:val="22"/>
        </w:rPr>
        <w:t>ii)…</w:t>
      </w:r>
      <w:r w:rsidR="00196196" w:rsidRPr="007D4DDF">
        <w:rPr>
          <w:sz w:val="22"/>
          <w:szCs w:val="22"/>
        </w:rPr>
        <w:t xml:space="preserve">Since Article 8 concerns rights of central importance to the individual’s identity, self-determination, physical and moral integrity, maintenance of relationships with others and a settled and secure place in the community, where general social and economic policy considerations have arisen in the context of Article 8 itself, the scope of the margin of appreciation depends on the context of the case, with particular significance attaching to the extent of the intrusion into the personal sphere of the applicant (see, among many others, </w:t>
      </w:r>
      <w:r w:rsidR="00196196" w:rsidRPr="007D4DDF">
        <w:rPr>
          <w:i/>
          <w:sz w:val="22"/>
          <w:szCs w:val="22"/>
          <w:lang w:eastAsia="en-US"/>
        </w:rPr>
        <w:t>Connors</w:t>
      </w:r>
      <w:r w:rsidR="00196196" w:rsidRPr="007D4DDF">
        <w:rPr>
          <w:sz w:val="22"/>
          <w:szCs w:val="22"/>
          <w:lang w:eastAsia="en-US"/>
        </w:rPr>
        <w:t>, cited above,</w:t>
      </w:r>
      <w:r w:rsidR="007E1B31" w:rsidRPr="007D4DDF">
        <w:rPr>
          <w:sz w:val="22"/>
          <w:szCs w:val="22"/>
          <w:lang w:eastAsia="en-US"/>
        </w:rPr>
        <w:t xml:space="preserve"> </w:t>
      </w:r>
      <w:r w:rsidR="00196196" w:rsidRPr="007D4DDF">
        <w:rPr>
          <w:sz w:val="22"/>
          <w:szCs w:val="22"/>
          <w:lang w:eastAsia="en-US"/>
        </w:rPr>
        <w:t>§ 82</w:t>
      </w:r>
      <w:r w:rsidR="00196196" w:rsidRPr="007D4DDF">
        <w:rPr>
          <w:sz w:val="22"/>
          <w:szCs w:val="22"/>
        </w:rPr>
        <w:t>);</w:t>
      </w:r>
    </w:p>
    <w:p w14:paraId="024A01FA" w14:textId="77777777" w:rsidR="00196196" w:rsidRPr="007D4DDF" w:rsidRDefault="00196196" w:rsidP="00777703">
      <w:pPr>
        <w:pStyle w:val="JuPara"/>
        <w:spacing w:before="0" w:after="120" w:line="240" w:lineRule="auto"/>
        <w:ind w:left="709" w:firstLine="0"/>
        <w:jc w:val="left"/>
        <w:rPr>
          <w:sz w:val="22"/>
          <w:szCs w:val="22"/>
        </w:rPr>
      </w:pPr>
      <w:r w:rsidRPr="007D4DDF">
        <w:rPr>
          <w:sz w:val="22"/>
          <w:szCs w:val="22"/>
        </w:rPr>
        <w:t xml:space="preserve">(iii) The procedural safeguards available to the individual will be especially material in determining whether the respondent State has remained within its margin of </w:t>
      </w:r>
      <w:r w:rsidRPr="007D4DDF">
        <w:rPr>
          <w:sz w:val="22"/>
          <w:szCs w:val="22"/>
        </w:rPr>
        <w:lastRenderedPageBreak/>
        <w:t xml:space="preserve">appreciation. In particular, the Court must examine whether the decision-making process leading to measures of interference was fair and such as to afford due respect to the interests safeguarded to the individual by Article 8 (see </w:t>
      </w:r>
      <w:r w:rsidRPr="007D4DDF">
        <w:rPr>
          <w:i/>
          <w:sz w:val="22"/>
          <w:szCs w:val="22"/>
        </w:rPr>
        <w:t>Buckley</w:t>
      </w:r>
      <w:r w:rsidRPr="007D4DDF">
        <w:rPr>
          <w:sz w:val="22"/>
          <w:szCs w:val="22"/>
        </w:rPr>
        <w:t>, cited above,</w:t>
      </w:r>
      <w:r w:rsidR="0099401E" w:rsidRPr="007D4DDF">
        <w:rPr>
          <w:sz w:val="22"/>
          <w:szCs w:val="22"/>
        </w:rPr>
        <w:t xml:space="preserve"> </w:t>
      </w:r>
      <w:r w:rsidRPr="007D4DDF">
        <w:rPr>
          <w:sz w:val="22"/>
          <w:szCs w:val="22"/>
        </w:rPr>
        <w:t>129</w:t>
      </w:r>
      <w:r w:rsidR="00A30391" w:rsidRPr="007D4DDF">
        <w:rPr>
          <w:sz w:val="22"/>
          <w:szCs w:val="22"/>
        </w:rPr>
        <w:t>2–9</w:t>
      </w:r>
      <w:r w:rsidRPr="007D4DDF">
        <w:rPr>
          <w:sz w:val="22"/>
          <w:szCs w:val="22"/>
        </w:rPr>
        <w:t xml:space="preserve">3, § 76, and </w:t>
      </w:r>
      <w:r w:rsidRPr="007D4DDF">
        <w:rPr>
          <w:i/>
          <w:sz w:val="22"/>
          <w:szCs w:val="22"/>
        </w:rPr>
        <w:t>Chapman</w:t>
      </w:r>
      <w:r w:rsidRPr="007D4DDF">
        <w:rPr>
          <w:sz w:val="22"/>
          <w:szCs w:val="22"/>
        </w:rPr>
        <w:t>, cited above, § 92). T</w:t>
      </w:r>
      <w:r w:rsidRPr="007D4DDF">
        <w:rPr>
          <w:sz w:val="22"/>
          <w:szCs w:val="22"/>
          <w:lang w:eastAsia="en-US"/>
        </w:rPr>
        <w:t xml:space="preserve">he </w:t>
      </w:r>
      <w:r w:rsidR="008D1E2A" w:rsidRPr="007D4DDF">
        <w:rPr>
          <w:sz w:val="22"/>
          <w:szCs w:val="22"/>
          <w:lang w:eastAsia="en-US"/>
        </w:rPr>
        <w:t>‘</w:t>
      </w:r>
      <w:r w:rsidRPr="007D4DDF">
        <w:rPr>
          <w:sz w:val="22"/>
          <w:szCs w:val="22"/>
          <w:lang w:eastAsia="en-US"/>
        </w:rPr>
        <w:t>necessary in a democratic society</w:t>
      </w:r>
      <w:r w:rsidR="008D1E2A" w:rsidRPr="007D4DDF">
        <w:rPr>
          <w:sz w:val="22"/>
          <w:szCs w:val="22"/>
          <w:lang w:eastAsia="en-US"/>
        </w:rPr>
        <w:t>’</w:t>
      </w:r>
      <w:r w:rsidRPr="007D4DDF">
        <w:rPr>
          <w:sz w:val="22"/>
          <w:szCs w:val="22"/>
          <w:lang w:eastAsia="en-US"/>
        </w:rPr>
        <w:t xml:space="preserve"> requirement under Article 8 § 2 raises a question of procedure as well of substance (see </w:t>
      </w:r>
      <w:r w:rsidRPr="007D4DDF">
        <w:rPr>
          <w:i/>
          <w:sz w:val="22"/>
          <w:szCs w:val="22"/>
          <w:lang w:eastAsia="en-US"/>
        </w:rPr>
        <w:t>McCann</w:t>
      </w:r>
      <w:r w:rsidRPr="007D4DDF">
        <w:rPr>
          <w:sz w:val="22"/>
          <w:szCs w:val="22"/>
        </w:rPr>
        <w:t xml:space="preserve">, cited above, </w:t>
      </w:r>
      <w:r w:rsidRPr="007D4DDF">
        <w:rPr>
          <w:sz w:val="22"/>
          <w:szCs w:val="22"/>
          <w:lang w:eastAsia="en-US"/>
        </w:rPr>
        <w:t>§ 26</w:t>
      </w:r>
      <w:proofErr w:type="gramStart"/>
      <w:r w:rsidRPr="007D4DDF">
        <w:rPr>
          <w:sz w:val="22"/>
          <w:szCs w:val="22"/>
          <w:lang w:eastAsia="en-US"/>
        </w:rPr>
        <w:t>);</w:t>
      </w:r>
      <w:proofErr w:type="gramEnd"/>
    </w:p>
    <w:p w14:paraId="6C3A82DF" w14:textId="26CAC7BC" w:rsidR="001A4592" w:rsidRPr="007D4DDF" w:rsidRDefault="00196196" w:rsidP="00395E14">
      <w:pPr>
        <w:pStyle w:val="JuPara"/>
        <w:spacing w:before="0" w:after="120" w:line="240" w:lineRule="auto"/>
        <w:ind w:left="568" w:firstLine="0"/>
        <w:jc w:val="left"/>
        <w:rPr>
          <w:i/>
          <w:sz w:val="22"/>
          <w:szCs w:val="22"/>
          <w:lang w:eastAsia="en-US"/>
        </w:rPr>
      </w:pPr>
      <w:r w:rsidRPr="007D4DDF">
        <w:rPr>
          <w:sz w:val="22"/>
          <w:szCs w:val="22"/>
          <w:lang w:eastAsia="en-US"/>
        </w:rPr>
        <w:t xml:space="preserve">(iv) Since </w:t>
      </w:r>
      <w:r w:rsidRPr="007D4DDF">
        <w:rPr>
          <w:sz w:val="22"/>
          <w:szCs w:val="22"/>
        </w:rPr>
        <w:t>the loss of one’s home is a most extreme form of interference with</w:t>
      </w:r>
      <w:r w:rsidRPr="007D4DDF">
        <w:rPr>
          <w:sz w:val="22"/>
          <w:szCs w:val="22"/>
          <w:lang w:eastAsia="en-US"/>
        </w:rPr>
        <w:t xml:space="preserve"> the right under Article 8 to respect for one’s home,</w:t>
      </w:r>
      <w:r w:rsidRPr="007D4DDF">
        <w:rPr>
          <w:sz w:val="22"/>
          <w:szCs w:val="22"/>
        </w:rPr>
        <w:t xml:space="preserve"> any person at risk of an interference of this magnitude should in principle be able to have the proportionality and reasonableness of the measure determined by an independent tribunal in the light of the relevant principles under Article 8, notwithstanding that, under domestic law, he has no right of occupation (see </w:t>
      </w:r>
      <w:r w:rsidRPr="007D4DDF">
        <w:rPr>
          <w:i/>
          <w:sz w:val="22"/>
          <w:szCs w:val="22"/>
          <w:lang w:eastAsia="en-US"/>
        </w:rPr>
        <w:t>Kay and Others v. the United Kingdom</w:t>
      </w:r>
      <w:r w:rsidRPr="007D4DDF">
        <w:rPr>
          <w:sz w:val="22"/>
          <w:szCs w:val="22"/>
          <w:lang w:eastAsia="en-US"/>
        </w:rPr>
        <w:t>, no. 37341/06</w:t>
      </w:r>
      <w:r w:rsidRPr="007D4DDF">
        <w:rPr>
          <w:snapToGrid w:val="0"/>
          <w:sz w:val="22"/>
          <w:szCs w:val="22"/>
          <w:lang w:eastAsia="en-US"/>
        </w:rPr>
        <w:t>, § 6</w:t>
      </w:r>
      <w:r w:rsidR="00A30391" w:rsidRPr="007D4DDF">
        <w:rPr>
          <w:snapToGrid w:val="0"/>
          <w:sz w:val="22"/>
          <w:szCs w:val="22"/>
          <w:lang w:eastAsia="en-US"/>
        </w:rPr>
        <w:t>7–8</w:t>
      </w:r>
      <w:r w:rsidRPr="007D4DDF">
        <w:rPr>
          <w:snapToGrid w:val="0"/>
          <w:sz w:val="22"/>
          <w:szCs w:val="22"/>
          <w:lang w:eastAsia="en-US"/>
        </w:rPr>
        <w:t xml:space="preserve"> and 74, 21 September 2010 and </w:t>
      </w:r>
      <w:proofErr w:type="spellStart"/>
      <w:r w:rsidRPr="007D4DDF">
        <w:rPr>
          <w:i/>
          <w:sz w:val="22"/>
          <w:szCs w:val="22"/>
          <w:lang w:eastAsia="en-US"/>
        </w:rPr>
        <w:t>Orlić</w:t>
      </w:r>
      <w:proofErr w:type="spellEnd"/>
      <w:r w:rsidRPr="007D4DDF">
        <w:rPr>
          <w:i/>
          <w:sz w:val="22"/>
          <w:szCs w:val="22"/>
          <w:lang w:eastAsia="en-US"/>
        </w:rPr>
        <w:t xml:space="preserve"> v. Croatia</w:t>
      </w:r>
      <w:r w:rsidRPr="007D4DDF">
        <w:rPr>
          <w:sz w:val="22"/>
          <w:szCs w:val="22"/>
          <w:lang w:eastAsia="en-US"/>
        </w:rPr>
        <w:t>, no. 48833/07</w:t>
      </w:r>
      <w:r w:rsidRPr="007D4DDF">
        <w:rPr>
          <w:snapToGrid w:val="0"/>
          <w:sz w:val="22"/>
          <w:szCs w:val="22"/>
          <w:lang w:eastAsia="en-US"/>
        </w:rPr>
        <w:t>, § 65, 21 June 2011). This means, among other things, that where relevant arguments concerning the proportionality of the interference have been raised by the applicant in domestic judicial proceedings, the domestic courts should examine them in detail and provide adequate reasons (</w:t>
      </w:r>
      <w:r w:rsidRPr="007D4DDF">
        <w:rPr>
          <w:i/>
          <w:snapToGrid w:val="0"/>
          <w:sz w:val="22"/>
          <w:szCs w:val="22"/>
          <w:lang w:eastAsia="en-US"/>
        </w:rPr>
        <w:t>ibid</w:t>
      </w:r>
      <w:r w:rsidRPr="007D4DDF">
        <w:rPr>
          <w:snapToGrid w:val="0"/>
          <w:sz w:val="22"/>
          <w:szCs w:val="22"/>
          <w:lang w:eastAsia="en-US"/>
        </w:rPr>
        <w:t>., §§ 6</w:t>
      </w:r>
      <w:r w:rsidR="00A30391" w:rsidRPr="007D4DDF">
        <w:rPr>
          <w:snapToGrid w:val="0"/>
          <w:sz w:val="22"/>
          <w:szCs w:val="22"/>
          <w:lang w:eastAsia="en-US"/>
        </w:rPr>
        <w:t>7–</w:t>
      </w:r>
      <w:r w:rsidR="006D4005" w:rsidRPr="007D4DDF">
        <w:rPr>
          <w:snapToGrid w:val="0"/>
          <w:sz w:val="22"/>
          <w:szCs w:val="22"/>
          <w:lang w:eastAsia="en-US"/>
        </w:rPr>
        <w:t>69).</w:t>
      </w:r>
      <w:r w:rsidR="007A2874" w:rsidRPr="007D4DDF">
        <w:rPr>
          <w:rStyle w:val="FootnoteReference"/>
          <w:snapToGrid w:val="0"/>
          <w:sz w:val="22"/>
          <w:szCs w:val="22"/>
          <w:lang w:eastAsia="en-US"/>
        </w:rPr>
        <w:footnoteReference w:id="95"/>
      </w:r>
    </w:p>
    <w:p w14:paraId="1BBBA7EB" w14:textId="77777777" w:rsidR="001A4592" w:rsidRPr="007D4DDF" w:rsidRDefault="00196196" w:rsidP="00777703">
      <w:pPr>
        <w:spacing w:before="0" w:after="120" w:line="240" w:lineRule="auto"/>
        <w:rPr>
          <w:iCs/>
          <w:color w:val="000000"/>
          <w:szCs w:val="24"/>
        </w:rPr>
      </w:pPr>
      <w:r w:rsidRPr="007D4DDF">
        <w:rPr>
          <w:iCs/>
          <w:color w:val="000000"/>
          <w:szCs w:val="24"/>
        </w:rPr>
        <w:t xml:space="preserve">Key </w:t>
      </w:r>
      <w:r w:rsidR="008D1E2A" w:rsidRPr="007D4DDF">
        <w:rPr>
          <w:iCs/>
          <w:color w:val="000000"/>
          <w:szCs w:val="24"/>
        </w:rPr>
        <w:t>‘</w:t>
      </w:r>
      <w:r w:rsidRPr="007D4DDF">
        <w:rPr>
          <w:iCs/>
          <w:color w:val="000000"/>
          <w:szCs w:val="24"/>
        </w:rPr>
        <w:t>proportionality</w:t>
      </w:r>
      <w:r w:rsidR="008D1E2A" w:rsidRPr="007D4DDF">
        <w:rPr>
          <w:iCs/>
          <w:color w:val="000000"/>
          <w:szCs w:val="24"/>
        </w:rPr>
        <w:t>’</w:t>
      </w:r>
      <w:r w:rsidRPr="007D4DDF">
        <w:rPr>
          <w:iCs/>
          <w:color w:val="000000"/>
          <w:szCs w:val="24"/>
        </w:rPr>
        <w:t xml:space="preserve"> issues around interference with Article 8 ECHR rights</w:t>
      </w:r>
      <w:r w:rsidR="00A30391" w:rsidRPr="007D4DDF">
        <w:rPr>
          <w:iCs/>
          <w:color w:val="000000"/>
          <w:szCs w:val="24"/>
        </w:rPr>
        <w:t xml:space="preserve"> </w:t>
      </w:r>
      <w:r w:rsidRPr="007D4DDF">
        <w:rPr>
          <w:iCs/>
          <w:color w:val="000000"/>
          <w:szCs w:val="24"/>
        </w:rPr>
        <w:t xml:space="preserve">regarding respect for privacy, family life and home as identified in </w:t>
      </w:r>
      <w:proofErr w:type="spellStart"/>
      <w:r w:rsidRPr="007D4DDF">
        <w:rPr>
          <w:i/>
          <w:iCs/>
          <w:color w:val="000000"/>
          <w:szCs w:val="24"/>
        </w:rPr>
        <w:t>Yordanova</w:t>
      </w:r>
      <w:proofErr w:type="spellEnd"/>
      <w:r w:rsidRPr="007D4DDF">
        <w:rPr>
          <w:iCs/>
          <w:color w:val="000000"/>
          <w:szCs w:val="24"/>
        </w:rPr>
        <w:t xml:space="preserve"> are:</w:t>
      </w:r>
    </w:p>
    <w:p w14:paraId="09259301" w14:textId="550F4CB5" w:rsidR="00A30391" w:rsidRPr="007D4DDF" w:rsidRDefault="007E1B31" w:rsidP="008B1CB3">
      <w:pPr>
        <w:pStyle w:val="ColourfulListAccent11"/>
        <w:numPr>
          <w:ilvl w:val="0"/>
          <w:numId w:val="26"/>
        </w:numPr>
        <w:tabs>
          <w:tab w:val="left" w:pos="1134"/>
        </w:tabs>
        <w:spacing w:before="0" w:after="120" w:line="240" w:lineRule="auto"/>
        <w:rPr>
          <w:szCs w:val="24"/>
        </w:rPr>
      </w:pPr>
      <w:r w:rsidRPr="007D4DDF">
        <w:rPr>
          <w:szCs w:val="24"/>
        </w:rPr>
        <w:t xml:space="preserve">the </w:t>
      </w:r>
      <w:r w:rsidR="00196196" w:rsidRPr="007D4DDF">
        <w:rPr>
          <w:szCs w:val="24"/>
        </w:rPr>
        <w:t>individual’s identity</w:t>
      </w:r>
    </w:p>
    <w:p w14:paraId="01853C6C" w14:textId="46FE94C5" w:rsidR="00A30391" w:rsidRPr="007D4DDF" w:rsidRDefault="00196196" w:rsidP="008B1CB3">
      <w:pPr>
        <w:pStyle w:val="ColourfulListAccent11"/>
        <w:numPr>
          <w:ilvl w:val="0"/>
          <w:numId w:val="26"/>
        </w:numPr>
        <w:tabs>
          <w:tab w:val="left" w:pos="1134"/>
        </w:tabs>
        <w:spacing w:before="0" w:after="120" w:line="240" w:lineRule="auto"/>
        <w:rPr>
          <w:szCs w:val="24"/>
        </w:rPr>
      </w:pPr>
      <w:r w:rsidRPr="007D4DDF">
        <w:rPr>
          <w:szCs w:val="24"/>
        </w:rPr>
        <w:t>self-determination</w:t>
      </w:r>
    </w:p>
    <w:p w14:paraId="6F6BB168" w14:textId="2F9E1B51" w:rsidR="00A30391" w:rsidRPr="007D4DDF" w:rsidRDefault="00196196" w:rsidP="008B1CB3">
      <w:pPr>
        <w:pStyle w:val="ColourfulListAccent11"/>
        <w:numPr>
          <w:ilvl w:val="0"/>
          <w:numId w:val="26"/>
        </w:numPr>
        <w:tabs>
          <w:tab w:val="left" w:pos="1134"/>
        </w:tabs>
        <w:spacing w:before="0" w:after="120" w:line="240" w:lineRule="auto"/>
        <w:rPr>
          <w:szCs w:val="24"/>
        </w:rPr>
      </w:pPr>
      <w:r w:rsidRPr="007D4DDF">
        <w:rPr>
          <w:szCs w:val="24"/>
        </w:rPr>
        <w:t>physical and moral integrity</w:t>
      </w:r>
    </w:p>
    <w:p w14:paraId="1181C923" w14:textId="5F8AAC6B" w:rsidR="00196196" w:rsidRPr="007D4DDF" w:rsidRDefault="00196196" w:rsidP="008B1CB3">
      <w:pPr>
        <w:pStyle w:val="ColourfulListAccent11"/>
        <w:numPr>
          <w:ilvl w:val="0"/>
          <w:numId w:val="26"/>
        </w:numPr>
        <w:tabs>
          <w:tab w:val="left" w:pos="1134"/>
        </w:tabs>
        <w:spacing w:before="0" w:after="120" w:line="240" w:lineRule="auto"/>
        <w:rPr>
          <w:szCs w:val="24"/>
        </w:rPr>
      </w:pPr>
      <w:r w:rsidRPr="007D4DDF">
        <w:rPr>
          <w:szCs w:val="24"/>
        </w:rPr>
        <w:t>maintenance of relationships with others</w:t>
      </w:r>
    </w:p>
    <w:p w14:paraId="3B0E0760" w14:textId="66057556" w:rsidR="00A30391" w:rsidRPr="007D4DDF" w:rsidRDefault="00196196" w:rsidP="008B1CB3">
      <w:pPr>
        <w:pStyle w:val="ColourfulListAccent11"/>
        <w:numPr>
          <w:ilvl w:val="0"/>
          <w:numId w:val="26"/>
        </w:numPr>
        <w:tabs>
          <w:tab w:val="left" w:pos="1134"/>
        </w:tabs>
        <w:spacing w:before="0" w:after="120" w:line="240" w:lineRule="auto"/>
        <w:rPr>
          <w:szCs w:val="24"/>
        </w:rPr>
      </w:pPr>
      <w:r w:rsidRPr="007D4DDF">
        <w:rPr>
          <w:szCs w:val="24"/>
        </w:rPr>
        <w:t>a settled and secure place in the community</w:t>
      </w:r>
    </w:p>
    <w:p w14:paraId="243DC88A" w14:textId="7A7356BB" w:rsidR="001A4592" w:rsidRPr="007D4DDF" w:rsidRDefault="00196196" w:rsidP="008B1CB3">
      <w:pPr>
        <w:pStyle w:val="ColourfulListAccent11"/>
        <w:numPr>
          <w:ilvl w:val="0"/>
          <w:numId w:val="26"/>
        </w:numPr>
        <w:tabs>
          <w:tab w:val="left" w:pos="1134"/>
        </w:tabs>
        <w:spacing w:before="0" w:after="120" w:line="240" w:lineRule="auto"/>
        <w:rPr>
          <w:szCs w:val="24"/>
        </w:rPr>
      </w:pPr>
      <w:r w:rsidRPr="007D4DDF">
        <w:rPr>
          <w:szCs w:val="24"/>
        </w:rPr>
        <w:t xml:space="preserve">the extent of the intrusion into the personal sphere of the </w:t>
      </w:r>
      <w:proofErr w:type="gramStart"/>
      <w:r w:rsidRPr="007D4DDF">
        <w:rPr>
          <w:szCs w:val="24"/>
        </w:rPr>
        <w:t>applicant</w:t>
      </w:r>
      <w:r w:rsidR="008D20C6" w:rsidRPr="007D4DDF">
        <w:rPr>
          <w:szCs w:val="24"/>
        </w:rPr>
        <w:t>.</w:t>
      </w:r>
      <w:r w:rsidR="006B4157">
        <w:rPr>
          <w:szCs w:val="24"/>
        </w:rPr>
        <w:t>&lt;</w:t>
      </w:r>
      <w:proofErr w:type="gramEnd"/>
      <w:r w:rsidR="006B4157">
        <w:rPr>
          <w:szCs w:val="24"/>
        </w:rPr>
        <w:t>/list&gt;</w:t>
      </w:r>
    </w:p>
    <w:p w14:paraId="714327BA" w14:textId="77777777" w:rsidR="00345375" w:rsidRPr="007D4DDF" w:rsidRDefault="00345375" w:rsidP="00395E14">
      <w:pPr>
        <w:pStyle w:val="ColourfulListAccent11"/>
        <w:spacing w:before="0" w:after="120" w:line="240" w:lineRule="auto"/>
        <w:ind w:left="1440"/>
        <w:rPr>
          <w:szCs w:val="24"/>
        </w:rPr>
      </w:pPr>
    </w:p>
    <w:p w14:paraId="3858035B" w14:textId="77777777" w:rsidR="001A4592" w:rsidRPr="007D4DDF" w:rsidRDefault="00196196" w:rsidP="00777703">
      <w:pPr>
        <w:spacing w:before="0" w:after="120" w:line="240" w:lineRule="auto"/>
        <w:rPr>
          <w:rStyle w:val="sb8d990e2"/>
          <w:szCs w:val="24"/>
        </w:rPr>
      </w:pPr>
      <w:r w:rsidRPr="007D4DDF">
        <w:rPr>
          <w:color w:val="000000"/>
          <w:szCs w:val="24"/>
        </w:rPr>
        <w:t xml:space="preserve">In </w:t>
      </w:r>
      <w:proofErr w:type="spellStart"/>
      <w:r w:rsidRPr="007D4DDF">
        <w:rPr>
          <w:i/>
          <w:color w:val="000000"/>
          <w:szCs w:val="24"/>
        </w:rPr>
        <w:t>Yordanova</w:t>
      </w:r>
      <w:proofErr w:type="spellEnd"/>
      <w:r w:rsidRPr="007D4DDF">
        <w:rPr>
          <w:i/>
          <w:color w:val="000000"/>
          <w:szCs w:val="24"/>
        </w:rPr>
        <w:t xml:space="preserve"> and Others v Bulgaria</w:t>
      </w:r>
      <w:r w:rsidRPr="007D4DDF">
        <w:rPr>
          <w:color w:val="000000"/>
          <w:szCs w:val="24"/>
        </w:rPr>
        <w:t>,</w:t>
      </w:r>
      <w:r w:rsidRPr="007D4DDF">
        <w:rPr>
          <w:rStyle w:val="FootnoteReference"/>
          <w:color w:val="000000"/>
          <w:szCs w:val="24"/>
        </w:rPr>
        <w:footnoteReference w:id="96"/>
      </w:r>
      <w:r w:rsidR="007E1B31" w:rsidRPr="007D4DDF">
        <w:rPr>
          <w:iCs/>
          <w:color w:val="000000"/>
          <w:szCs w:val="24"/>
        </w:rPr>
        <w:t xml:space="preserve"> </w:t>
      </w:r>
      <w:r w:rsidRPr="007D4DDF">
        <w:rPr>
          <w:iCs/>
          <w:color w:val="000000"/>
          <w:szCs w:val="24"/>
        </w:rPr>
        <w:t xml:space="preserve">the European Court of Human Rights </w:t>
      </w:r>
      <w:r w:rsidRPr="007D4DDF">
        <w:rPr>
          <w:szCs w:val="24"/>
        </w:rPr>
        <w:t xml:space="preserve">stated that those at risk of eviction </w:t>
      </w:r>
      <w:r w:rsidRPr="007D4DDF">
        <w:rPr>
          <w:rStyle w:val="sb8d990e2"/>
          <w:szCs w:val="24"/>
        </w:rPr>
        <w:t>should be afforded the following procedural safeguards</w:t>
      </w:r>
      <w:r w:rsidRPr="007D4DDF">
        <w:rPr>
          <w:szCs w:val="24"/>
        </w:rPr>
        <w:t>:</w:t>
      </w:r>
    </w:p>
    <w:p w14:paraId="23858C68" w14:textId="35D332C1" w:rsidR="00A30391" w:rsidRPr="007D4DDF" w:rsidRDefault="00196196" w:rsidP="00777703">
      <w:pPr>
        <w:spacing w:before="0" w:after="120" w:line="240" w:lineRule="auto"/>
        <w:ind w:left="1134" w:hanging="414"/>
        <w:rPr>
          <w:rStyle w:val="sb8d990e2"/>
          <w:szCs w:val="24"/>
        </w:rPr>
      </w:pPr>
      <w:r w:rsidRPr="007D4DDF">
        <w:rPr>
          <w:rStyle w:val="sb8d990e2"/>
          <w:szCs w:val="24"/>
        </w:rPr>
        <w:t xml:space="preserve">1. </w:t>
      </w:r>
      <w:r w:rsidR="00DD7EC3" w:rsidRPr="007D4DDF">
        <w:rPr>
          <w:rStyle w:val="sb8d990e2"/>
          <w:szCs w:val="24"/>
        </w:rPr>
        <w:tab/>
      </w:r>
      <w:r w:rsidRPr="007D4DDF">
        <w:rPr>
          <w:rStyle w:val="sb8d990e2"/>
          <w:szCs w:val="24"/>
        </w:rPr>
        <w:t>The decision-making process leading to measures of interference has to be fair and must afford due respect to the interests safeguarded to the individual by Article 8</w:t>
      </w:r>
      <w:r w:rsidR="005635DF" w:rsidRPr="007D4DDF">
        <w:rPr>
          <w:rStyle w:val="sb8d990e2"/>
          <w:szCs w:val="24"/>
        </w:rPr>
        <w:t>.</w:t>
      </w:r>
    </w:p>
    <w:p w14:paraId="55683D28" w14:textId="77777777" w:rsidR="00A30391" w:rsidRPr="007D4DDF" w:rsidRDefault="00196196" w:rsidP="00777703">
      <w:pPr>
        <w:spacing w:before="0" w:after="120" w:line="240" w:lineRule="auto"/>
        <w:ind w:left="1134" w:hanging="414"/>
        <w:rPr>
          <w:rStyle w:val="sb8d990e2"/>
          <w:szCs w:val="24"/>
        </w:rPr>
      </w:pPr>
      <w:r w:rsidRPr="007D4DDF">
        <w:rPr>
          <w:rStyle w:val="sb8d990e2"/>
          <w:szCs w:val="24"/>
        </w:rPr>
        <w:t xml:space="preserve">2. </w:t>
      </w:r>
      <w:r w:rsidR="00DD7EC3" w:rsidRPr="007D4DDF">
        <w:rPr>
          <w:rStyle w:val="sb8d990e2"/>
          <w:szCs w:val="24"/>
        </w:rPr>
        <w:tab/>
      </w:r>
      <w:r w:rsidRPr="007D4DDF">
        <w:rPr>
          <w:rStyle w:val="sb8d990e2"/>
          <w:szCs w:val="24"/>
        </w:rPr>
        <w:t>Any person at risk of the loss of his/her home should in principle be able to have the proportionality and reasonableness of the measure determined by an independent tribunal, notwithstanding that, under domestic law, he/she has no right of occupation</w:t>
      </w:r>
      <w:r w:rsidR="005635DF" w:rsidRPr="007D4DDF">
        <w:rPr>
          <w:rStyle w:val="sb8d990e2"/>
          <w:szCs w:val="24"/>
        </w:rPr>
        <w:t>.</w:t>
      </w:r>
    </w:p>
    <w:p w14:paraId="1AFF1D65" w14:textId="2752CC98" w:rsidR="001A4592" w:rsidRPr="007D4DDF" w:rsidRDefault="00196196" w:rsidP="00777703">
      <w:pPr>
        <w:spacing w:before="0" w:after="120" w:line="240" w:lineRule="auto"/>
        <w:ind w:left="1134" w:hanging="414"/>
        <w:rPr>
          <w:color w:val="000000"/>
          <w:szCs w:val="24"/>
        </w:rPr>
      </w:pPr>
      <w:r w:rsidRPr="007D4DDF">
        <w:rPr>
          <w:rStyle w:val="sb8d990e2"/>
          <w:szCs w:val="24"/>
        </w:rPr>
        <w:t xml:space="preserve">3. </w:t>
      </w:r>
      <w:r w:rsidR="00DD7EC3" w:rsidRPr="007D4DDF">
        <w:rPr>
          <w:rStyle w:val="sb8d990e2"/>
          <w:szCs w:val="24"/>
        </w:rPr>
        <w:tab/>
      </w:r>
      <w:r w:rsidRPr="007D4DDF">
        <w:rPr>
          <w:rStyle w:val="sb8d990e2"/>
          <w:szCs w:val="24"/>
        </w:rPr>
        <w:t>National authorities, in their decisions ordering and upholding the applicant’s eviction, must give an explanation or put forward arguments demonstrating the necessity of eviction</w:t>
      </w:r>
      <w:r w:rsidR="006E160F">
        <w:rPr>
          <w:rStyle w:val="sb8d990e2"/>
          <w:szCs w:val="24"/>
        </w:rPr>
        <w:t>.</w:t>
      </w:r>
    </w:p>
    <w:p w14:paraId="48177AD1" w14:textId="77777777" w:rsidR="001A4592" w:rsidRPr="007D4DDF" w:rsidRDefault="00196196" w:rsidP="00395E14">
      <w:pPr>
        <w:spacing w:before="0" w:after="120" w:line="240" w:lineRule="auto"/>
        <w:rPr>
          <w:color w:val="000000"/>
          <w:szCs w:val="24"/>
        </w:rPr>
      </w:pPr>
      <w:r w:rsidRPr="007D4DDF">
        <w:rPr>
          <w:color w:val="000000"/>
          <w:szCs w:val="24"/>
        </w:rPr>
        <w:t xml:space="preserve">More recently, </w:t>
      </w:r>
      <w:r w:rsidRPr="007D4DDF">
        <w:rPr>
          <w:color w:val="000000"/>
          <w:szCs w:val="24"/>
          <w:lang w:eastAsia="en-US"/>
        </w:rPr>
        <w:t xml:space="preserve">the </w:t>
      </w:r>
      <w:r w:rsidRPr="007D4DDF">
        <w:rPr>
          <w:color w:val="000000"/>
          <w:szCs w:val="24"/>
        </w:rPr>
        <w:t xml:space="preserve">European Court of Human Rights has requested that Spain make arrangements for housing and social care for a </w:t>
      </w:r>
      <w:r w:rsidR="007E1B31" w:rsidRPr="007D4DDF">
        <w:rPr>
          <w:color w:val="000000"/>
          <w:szCs w:val="24"/>
        </w:rPr>
        <w:t xml:space="preserve">household </w:t>
      </w:r>
      <w:r w:rsidR="00D2626A" w:rsidRPr="007D4DDF">
        <w:rPr>
          <w:color w:val="000000"/>
          <w:szCs w:val="24"/>
        </w:rPr>
        <w:t>with children</w:t>
      </w:r>
      <w:r w:rsidR="00662F89" w:rsidRPr="007D4DDF">
        <w:rPr>
          <w:color w:val="000000"/>
          <w:szCs w:val="24"/>
        </w:rPr>
        <w:t xml:space="preserve"> that was</w:t>
      </w:r>
      <w:r w:rsidR="00D2626A" w:rsidRPr="007D4DDF">
        <w:rPr>
          <w:color w:val="000000"/>
          <w:szCs w:val="24"/>
        </w:rPr>
        <w:t xml:space="preserve"> subject to </w:t>
      </w:r>
      <w:r w:rsidRPr="007D4DDF">
        <w:rPr>
          <w:color w:val="000000"/>
          <w:szCs w:val="24"/>
        </w:rPr>
        <w:t xml:space="preserve">potential </w:t>
      </w:r>
      <w:r w:rsidR="00D2626A" w:rsidRPr="007D4DDF">
        <w:rPr>
          <w:color w:val="000000"/>
          <w:szCs w:val="24"/>
        </w:rPr>
        <w:t xml:space="preserve">eviction </w:t>
      </w:r>
      <w:r w:rsidRPr="007D4DDF">
        <w:rPr>
          <w:color w:val="000000"/>
          <w:szCs w:val="24"/>
        </w:rPr>
        <w:t>to ensure compliance with international human rights standards.</w:t>
      </w:r>
      <w:r w:rsidRPr="007D4DDF">
        <w:rPr>
          <w:rStyle w:val="FootnoteReference"/>
          <w:color w:val="000000"/>
          <w:szCs w:val="24"/>
        </w:rPr>
        <w:footnoteReference w:id="97"/>
      </w:r>
      <w:r w:rsidRPr="007D4DDF">
        <w:rPr>
          <w:color w:val="000000"/>
          <w:szCs w:val="24"/>
        </w:rPr>
        <w:t xml:space="preserve"> Together, these human (social) rights instruments, which have been adopted </w:t>
      </w:r>
      <w:r w:rsidR="00DF5070" w:rsidRPr="007D4DDF">
        <w:rPr>
          <w:color w:val="000000"/>
          <w:szCs w:val="24"/>
        </w:rPr>
        <w:t xml:space="preserve">to </w:t>
      </w:r>
      <w:r w:rsidRPr="007D4DDF">
        <w:rPr>
          <w:color w:val="000000"/>
          <w:szCs w:val="24"/>
        </w:rPr>
        <w:t xml:space="preserve">varying degrees by the EU Member States being examined, oblige countries to ensure that </w:t>
      </w:r>
      <w:r w:rsidRPr="007D4DDF">
        <w:rPr>
          <w:iCs/>
          <w:color w:val="000000"/>
          <w:szCs w:val="24"/>
        </w:rPr>
        <w:lastRenderedPageBreak/>
        <w:t>e</w:t>
      </w:r>
      <w:r w:rsidRPr="007D4DDF">
        <w:rPr>
          <w:color w:val="000000"/>
          <w:szCs w:val="24"/>
        </w:rPr>
        <w:t>victions do not result in individuals being rendered homeless or vulnerable to the violation of other human rights. Where those evicted are unable to provide for themselves, Member States must take the maximum appropriate measures allowed by their available resources to ensure that adequate alternative housing or resettlement is available.</w:t>
      </w:r>
      <w:r w:rsidRPr="007D4DDF">
        <w:rPr>
          <w:rStyle w:val="FootnoteReference"/>
          <w:color w:val="000000"/>
          <w:szCs w:val="24"/>
        </w:rPr>
        <w:footnoteReference w:id="98"/>
      </w:r>
    </w:p>
    <w:p w14:paraId="47CF7692" w14:textId="77777777" w:rsidR="00A67D0A" w:rsidRPr="007D4DDF" w:rsidRDefault="009930DE" w:rsidP="00777703">
      <w:pPr>
        <w:spacing w:before="0" w:after="120" w:line="240" w:lineRule="auto"/>
        <w:rPr>
          <w:szCs w:val="24"/>
        </w:rPr>
      </w:pPr>
      <w:r w:rsidRPr="007D4DDF">
        <w:rPr>
          <w:color w:val="000000"/>
          <w:szCs w:val="24"/>
        </w:rPr>
        <w:t xml:space="preserve">There is, however, a major limitation in the application of Article 8 ECHR in the context of evictions in the ‘private’ arena. The horizontal impact of the Article, </w:t>
      </w:r>
      <w:proofErr w:type="spellStart"/>
      <w:proofErr w:type="gramStart"/>
      <w:r w:rsidRPr="007D4DDF">
        <w:rPr>
          <w:color w:val="000000"/>
          <w:szCs w:val="24"/>
        </w:rPr>
        <w:t>ie</w:t>
      </w:r>
      <w:proofErr w:type="spellEnd"/>
      <w:proofErr w:type="gramEnd"/>
      <w:r w:rsidRPr="007D4DDF">
        <w:rPr>
          <w:color w:val="000000"/>
          <w:szCs w:val="24"/>
        </w:rPr>
        <w:t xml:space="preserve"> </w:t>
      </w:r>
      <w:r w:rsidR="00C34CEE">
        <w:rPr>
          <w:color w:val="000000"/>
          <w:szCs w:val="24"/>
        </w:rPr>
        <w:t xml:space="preserve">whether </w:t>
      </w:r>
      <w:r w:rsidRPr="007D4DDF">
        <w:rPr>
          <w:color w:val="000000"/>
          <w:szCs w:val="24"/>
        </w:rPr>
        <w:t>it appl</w:t>
      </w:r>
      <w:r w:rsidR="00C34CEE">
        <w:rPr>
          <w:color w:val="000000"/>
          <w:szCs w:val="24"/>
        </w:rPr>
        <w:t>ies</w:t>
      </w:r>
      <w:r w:rsidRPr="007D4DDF">
        <w:rPr>
          <w:color w:val="000000"/>
          <w:szCs w:val="24"/>
        </w:rPr>
        <w:t xml:space="preserve"> in evictions from private rented housing</w:t>
      </w:r>
      <w:r w:rsidR="00C54D67" w:rsidRPr="007D4DDF">
        <w:rPr>
          <w:color w:val="000000"/>
          <w:szCs w:val="24"/>
        </w:rPr>
        <w:t>,</w:t>
      </w:r>
      <w:r w:rsidRPr="007D4DDF">
        <w:rPr>
          <w:color w:val="000000"/>
          <w:szCs w:val="24"/>
        </w:rPr>
        <w:t xml:space="preserve"> or as a result of mortgage repossessions</w:t>
      </w:r>
      <w:r w:rsidR="00C54D67" w:rsidRPr="007D4DDF">
        <w:rPr>
          <w:color w:val="000000"/>
          <w:szCs w:val="24"/>
        </w:rPr>
        <w:t>,</w:t>
      </w:r>
      <w:r w:rsidRPr="007D4DDF">
        <w:rPr>
          <w:color w:val="000000"/>
          <w:szCs w:val="24"/>
        </w:rPr>
        <w:t xml:space="preserve"> has been subject to much discussion. The </w:t>
      </w:r>
      <w:r w:rsidRPr="007D4DDF">
        <w:rPr>
          <w:i/>
          <w:color w:val="000000"/>
          <w:szCs w:val="24"/>
        </w:rPr>
        <w:t>McDonald</w:t>
      </w:r>
      <w:r w:rsidR="00345375" w:rsidRPr="007D4DDF">
        <w:rPr>
          <w:i/>
          <w:color w:val="000000"/>
          <w:szCs w:val="24"/>
        </w:rPr>
        <w:t xml:space="preserve"> </w:t>
      </w:r>
      <w:r w:rsidR="00345375" w:rsidRPr="007D4DDF">
        <w:rPr>
          <w:color w:val="000000"/>
          <w:szCs w:val="24"/>
        </w:rPr>
        <w:t>case</w:t>
      </w:r>
      <w:r w:rsidRPr="007D4DDF">
        <w:rPr>
          <w:rStyle w:val="FootnoteReference"/>
          <w:color w:val="000000"/>
          <w:szCs w:val="24"/>
        </w:rPr>
        <w:footnoteReference w:id="99"/>
      </w:r>
      <w:r w:rsidRPr="007D4DDF">
        <w:rPr>
          <w:i/>
          <w:color w:val="000000"/>
          <w:szCs w:val="24"/>
        </w:rPr>
        <w:t xml:space="preserve"> </w:t>
      </w:r>
      <w:r w:rsidRPr="007D4DDF">
        <w:rPr>
          <w:color w:val="000000"/>
          <w:szCs w:val="24"/>
        </w:rPr>
        <w:t>in England</w:t>
      </w:r>
      <w:r w:rsidR="00345375" w:rsidRPr="007D4DDF">
        <w:rPr>
          <w:color w:val="000000"/>
          <w:szCs w:val="24"/>
        </w:rPr>
        <w:t xml:space="preserve"> (the UK)</w:t>
      </w:r>
      <w:r w:rsidRPr="007D4DDF">
        <w:rPr>
          <w:color w:val="000000"/>
          <w:szCs w:val="24"/>
        </w:rPr>
        <w:t xml:space="preserve"> held that Article 8 protection and the need for a proportionality test did not apply in circumstances where legislation governed the contractual rights of the landlord. </w:t>
      </w:r>
      <w:proofErr w:type="gramStart"/>
      <w:r w:rsidRPr="007D4DDF">
        <w:rPr>
          <w:color w:val="000000"/>
          <w:szCs w:val="24"/>
        </w:rPr>
        <w:t>The Housing Act 1988 s</w:t>
      </w:r>
      <w:r w:rsidR="00345375" w:rsidRPr="007D4DDF">
        <w:rPr>
          <w:color w:val="000000"/>
          <w:szCs w:val="24"/>
        </w:rPr>
        <w:t>ection</w:t>
      </w:r>
      <w:r w:rsidRPr="007D4DDF">
        <w:rPr>
          <w:color w:val="000000"/>
          <w:szCs w:val="24"/>
        </w:rPr>
        <w:t xml:space="preserve"> 21</w:t>
      </w:r>
      <w:r w:rsidR="00345375" w:rsidRPr="007D4DDF">
        <w:rPr>
          <w:color w:val="000000"/>
          <w:szCs w:val="24"/>
        </w:rPr>
        <w:t>,</w:t>
      </w:r>
      <w:proofErr w:type="gramEnd"/>
      <w:r w:rsidRPr="007D4DDF">
        <w:rPr>
          <w:color w:val="000000"/>
          <w:szCs w:val="24"/>
        </w:rPr>
        <w:t xml:space="preserve"> entitles a landlord to possession at the expiry of an assured shorthold tenancy after having served the required notice in writing on the tenant.</w:t>
      </w:r>
      <w:r w:rsidRPr="007D4DDF">
        <w:rPr>
          <w:rStyle w:val="FootnoteReference"/>
          <w:color w:val="000000"/>
          <w:szCs w:val="24"/>
        </w:rPr>
        <w:footnoteReference w:id="100"/>
      </w:r>
      <w:r w:rsidRPr="007D4DDF">
        <w:rPr>
          <w:color w:val="000000"/>
          <w:szCs w:val="24"/>
        </w:rPr>
        <w:t xml:space="preserve"> In </w:t>
      </w:r>
      <w:proofErr w:type="spellStart"/>
      <w:r w:rsidRPr="007D4DDF">
        <w:rPr>
          <w:i/>
          <w:color w:val="000000"/>
          <w:szCs w:val="24"/>
        </w:rPr>
        <w:t>Vrzic</w:t>
      </w:r>
      <w:proofErr w:type="spellEnd"/>
      <w:r w:rsidRPr="007D4DDF">
        <w:rPr>
          <w:i/>
          <w:color w:val="000000"/>
          <w:szCs w:val="24"/>
        </w:rPr>
        <w:t xml:space="preserve"> v Croatia</w:t>
      </w:r>
      <w:r w:rsidR="00345375" w:rsidRPr="007D4DDF">
        <w:rPr>
          <w:color w:val="000000"/>
          <w:szCs w:val="24"/>
        </w:rPr>
        <w:t>,</w:t>
      </w:r>
      <w:r w:rsidRPr="007D4DDF">
        <w:rPr>
          <w:rStyle w:val="FootnoteReference"/>
          <w:color w:val="000000"/>
          <w:szCs w:val="24"/>
        </w:rPr>
        <w:footnoteReference w:id="101"/>
      </w:r>
      <w:r w:rsidRPr="007D4DDF">
        <w:rPr>
          <w:color w:val="000000"/>
          <w:szCs w:val="24"/>
        </w:rPr>
        <w:t xml:space="preserve"> the ECtHR addressed the ‘horizontal’ application of Article 8 in a case where the</w:t>
      </w:r>
      <w:r w:rsidR="00A67D0A" w:rsidRPr="007D4DDF">
        <w:rPr>
          <w:color w:val="000000"/>
          <w:szCs w:val="24"/>
        </w:rPr>
        <w:t xml:space="preserve"> home was sold</w:t>
      </w:r>
      <w:r w:rsidR="00C54D67" w:rsidRPr="007D4DDF">
        <w:rPr>
          <w:color w:val="000000"/>
          <w:szCs w:val="24"/>
        </w:rPr>
        <w:t xml:space="preserve">, </w:t>
      </w:r>
      <w:r w:rsidR="00A67D0A" w:rsidRPr="007D4DDF">
        <w:rPr>
          <w:color w:val="000000"/>
          <w:szCs w:val="24"/>
        </w:rPr>
        <w:t>as it had been pledged as collateral for a business loan</w:t>
      </w:r>
      <w:r w:rsidR="00C54D67" w:rsidRPr="007D4DDF">
        <w:rPr>
          <w:color w:val="000000"/>
          <w:szCs w:val="24"/>
        </w:rPr>
        <w:t xml:space="preserve"> which had not been repaid</w:t>
      </w:r>
      <w:r w:rsidR="00A67D0A" w:rsidRPr="007D4DDF">
        <w:rPr>
          <w:color w:val="000000"/>
          <w:szCs w:val="24"/>
        </w:rPr>
        <w:t xml:space="preserve">. The ECtHR held that </w:t>
      </w:r>
      <w:r w:rsidR="00C54D67" w:rsidRPr="007D4DDF">
        <w:rPr>
          <w:color w:val="000000"/>
          <w:szCs w:val="24"/>
        </w:rPr>
        <w:t xml:space="preserve">in </w:t>
      </w:r>
      <w:r w:rsidR="00A67D0A" w:rsidRPr="007D4DDF">
        <w:rPr>
          <w:color w:val="000000"/>
          <w:szCs w:val="24"/>
        </w:rPr>
        <w:t xml:space="preserve">all previous </w:t>
      </w:r>
      <w:r w:rsidR="00C54D67" w:rsidRPr="007D4DDF">
        <w:rPr>
          <w:color w:val="000000"/>
          <w:szCs w:val="24"/>
        </w:rPr>
        <w:t xml:space="preserve">such </w:t>
      </w:r>
      <w:r w:rsidR="00A67D0A" w:rsidRPr="007D4DDF">
        <w:rPr>
          <w:color w:val="000000"/>
          <w:szCs w:val="24"/>
        </w:rPr>
        <w:t>Article 8 cases involving eviction</w:t>
      </w:r>
      <w:r w:rsidR="00345375" w:rsidRPr="007D4DDF">
        <w:rPr>
          <w:color w:val="000000"/>
          <w:szCs w:val="24"/>
        </w:rPr>
        <w:t>,</w:t>
      </w:r>
      <w:r w:rsidR="00A67D0A" w:rsidRPr="007D4DDF">
        <w:rPr>
          <w:color w:val="000000"/>
          <w:szCs w:val="24"/>
        </w:rPr>
        <w:t xml:space="preserve"> </w:t>
      </w:r>
      <w:r w:rsidR="00A67D0A" w:rsidRPr="007D4DDF">
        <w:rPr>
          <w:szCs w:val="24"/>
        </w:rPr>
        <w:t xml:space="preserve">the applicants were living in </w:t>
      </w:r>
      <w:r w:rsidR="0074530E" w:rsidRPr="007D4DDF">
        <w:rPr>
          <w:szCs w:val="24"/>
        </w:rPr>
        <w:t>s</w:t>
      </w:r>
      <w:r w:rsidR="00A67D0A" w:rsidRPr="007D4DDF">
        <w:rPr>
          <w:szCs w:val="24"/>
        </w:rPr>
        <w:t>tate-owned or socially</w:t>
      </w:r>
      <w:r w:rsidR="0074530E" w:rsidRPr="007D4DDF">
        <w:rPr>
          <w:szCs w:val="24"/>
        </w:rPr>
        <w:t xml:space="preserve"> </w:t>
      </w:r>
      <w:r w:rsidR="00A67D0A" w:rsidRPr="007D4DDF">
        <w:rPr>
          <w:szCs w:val="24"/>
        </w:rPr>
        <w:t xml:space="preserve">owned </w:t>
      </w:r>
      <w:r w:rsidR="00C54D67" w:rsidRPr="007D4DDF">
        <w:rPr>
          <w:szCs w:val="24"/>
        </w:rPr>
        <w:t xml:space="preserve">accommodation </w:t>
      </w:r>
      <w:r w:rsidR="00A67D0A" w:rsidRPr="007D4DDF">
        <w:rPr>
          <w:szCs w:val="24"/>
        </w:rPr>
        <w:t>flats</w:t>
      </w:r>
      <w:r w:rsidR="00C54D67" w:rsidRPr="007D4DDF">
        <w:rPr>
          <w:szCs w:val="24"/>
        </w:rPr>
        <w:t>,</w:t>
      </w:r>
      <w:r w:rsidR="00A67D0A" w:rsidRPr="007D4DDF">
        <w:rPr>
          <w:szCs w:val="24"/>
        </w:rPr>
        <w:t xml:space="preserve"> and an important aspect of finding a violation was the fact that there was no other private interest at stake.</w:t>
      </w:r>
      <w:r w:rsidR="00A67D0A" w:rsidRPr="007D4DDF">
        <w:rPr>
          <w:rStyle w:val="FootnoteReference"/>
          <w:szCs w:val="24"/>
        </w:rPr>
        <w:footnoteReference w:id="102"/>
      </w:r>
      <w:r w:rsidR="00A67D0A" w:rsidRPr="007D4DDF">
        <w:rPr>
          <w:szCs w:val="24"/>
        </w:rPr>
        <w:t xml:space="preserve"> Furthermore, the applicants in those cases had not signed any form of agreement whereby they risked losing their home. In th</w:t>
      </w:r>
      <w:r w:rsidR="00345375" w:rsidRPr="007D4DDF">
        <w:rPr>
          <w:szCs w:val="24"/>
        </w:rPr>
        <w:t>e</w:t>
      </w:r>
      <w:r w:rsidR="00345375" w:rsidRPr="007D4DDF">
        <w:rPr>
          <w:i/>
          <w:color w:val="000000"/>
          <w:szCs w:val="24"/>
        </w:rPr>
        <w:t xml:space="preserve"> </w:t>
      </w:r>
      <w:proofErr w:type="spellStart"/>
      <w:r w:rsidR="00345375" w:rsidRPr="007D4DDF">
        <w:rPr>
          <w:i/>
          <w:szCs w:val="24"/>
        </w:rPr>
        <w:t>Vrzic</w:t>
      </w:r>
      <w:proofErr w:type="spellEnd"/>
      <w:r w:rsidR="00345375" w:rsidRPr="007D4DDF" w:rsidDel="00345375">
        <w:rPr>
          <w:szCs w:val="24"/>
        </w:rPr>
        <w:t xml:space="preserve"> </w:t>
      </w:r>
      <w:r w:rsidR="00A67D0A" w:rsidRPr="007D4DDF">
        <w:rPr>
          <w:szCs w:val="24"/>
        </w:rPr>
        <w:t>case</w:t>
      </w:r>
      <w:r w:rsidR="00345375" w:rsidRPr="007D4DDF">
        <w:rPr>
          <w:szCs w:val="24"/>
        </w:rPr>
        <w:t>,</w:t>
      </w:r>
      <w:r w:rsidR="00A67D0A" w:rsidRPr="007D4DDF">
        <w:rPr>
          <w:szCs w:val="24"/>
        </w:rPr>
        <w:t xml:space="preserve"> the parties involved a bank</w:t>
      </w:r>
      <w:r w:rsidR="00C54D67" w:rsidRPr="007D4DDF">
        <w:rPr>
          <w:szCs w:val="24"/>
        </w:rPr>
        <w:t>,</w:t>
      </w:r>
      <w:r w:rsidR="00A67D0A" w:rsidRPr="007D4DDF">
        <w:rPr>
          <w:szCs w:val="24"/>
        </w:rPr>
        <w:t xml:space="preserve"> and </w:t>
      </w:r>
      <w:r w:rsidR="00C54D67" w:rsidRPr="007D4DDF">
        <w:rPr>
          <w:szCs w:val="24"/>
        </w:rPr>
        <w:t xml:space="preserve">the </w:t>
      </w:r>
      <w:r w:rsidR="00A67D0A" w:rsidRPr="007D4DDF">
        <w:rPr>
          <w:szCs w:val="24"/>
        </w:rPr>
        <w:t>borrowers had voluntarily used their home as collateral for a loan.</w:t>
      </w:r>
      <w:r w:rsidR="00C54D67" w:rsidRPr="007D4DDF">
        <w:rPr>
          <w:rStyle w:val="FootnoteReference"/>
          <w:szCs w:val="24"/>
        </w:rPr>
        <w:footnoteReference w:id="103"/>
      </w:r>
      <w:r w:rsidR="00A67D0A" w:rsidRPr="007D4DDF">
        <w:rPr>
          <w:szCs w:val="24"/>
        </w:rPr>
        <w:t xml:space="preserve"> </w:t>
      </w:r>
      <w:r w:rsidR="006B096C" w:rsidRPr="007D4DDF">
        <w:rPr>
          <w:szCs w:val="24"/>
        </w:rPr>
        <w:t>T</w:t>
      </w:r>
      <w:r w:rsidR="00A67D0A" w:rsidRPr="007D4DDF">
        <w:rPr>
          <w:szCs w:val="24"/>
        </w:rPr>
        <w:t xml:space="preserve">here was no violation of Article </w:t>
      </w:r>
      <w:r w:rsidR="00345375" w:rsidRPr="007D4DDF">
        <w:rPr>
          <w:szCs w:val="24"/>
        </w:rPr>
        <w:t xml:space="preserve">8, </w:t>
      </w:r>
      <w:r w:rsidR="00A67D0A" w:rsidRPr="007D4DDF">
        <w:rPr>
          <w:szCs w:val="24"/>
        </w:rPr>
        <w:t>despite the absence of a proportionality assessment.</w:t>
      </w:r>
      <w:r w:rsidR="007C19A5" w:rsidRPr="007D4DDF">
        <w:rPr>
          <w:szCs w:val="24"/>
        </w:rPr>
        <w:t xml:space="preserve"> </w:t>
      </w:r>
      <w:r w:rsidR="006B096C" w:rsidRPr="007D4DDF">
        <w:rPr>
          <w:szCs w:val="24"/>
        </w:rPr>
        <w:t>However, the ECtHR held that this does not mean that the court will not examine the procedures in cases involving private parties:</w:t>
      </w:r>
    </w:p>
    <w:p w14:paraId="7D04A649" w14:textId="71A23DDE" w:rsidR="006B096C" w:rsidRPr="007D4DDF" w:rsidRDefault="006B096C" w:rsidP="00777703">
      <w:pPr>
        <w:spacing w:before="0" w:after="120" w:line="240" w:lineRule="auto"/>
        <w:ind w:left="720"/>
        <w:rPr>
          <w:szCs w:val="24"/>
        </w:rPr>
      </w:pPr>
      <w:r w:rsidRPr="007D4DDF">
        <w:rPr>
          <w:sz w:val="22"/>
        </w:rPr>
        <w:t xml:space="preserve">The Court is mindful of the fact that the present case concerns proceedings between private parties, namely the applicants and their creditors on the one hand and the applicants and the purchaser of their house on the other hand. However, even in cases involving private litigation, the State is under an obligation to afford the parties to the dispute judicial procedures which offer the necessary procedural guarantees and therefore enable the domestic courts and tribunals to adjudicate effectively and fairly in the light of the applicable law (see </w:t>
      </w:r>
      <w:r w:rsidRPr="007D4DDF">
        <w:rPr>
          <w:i/>
          <w:iCs/>
          <w:sz w:val="22"/>
        </w:rPr>
        <w:t xml:space="preserve">Anheuser-Busch Inc. v. Portugal </w:t>
      </w:r>
      <w:r w:rsidRPr="007D4DDF">
        <w:rPr>
          <w:sz w:val="22"/>
        </w:rPr>
        <w:t xml:space="preserve">[GC], no. 73049/01, § 83, ECHR 2007-I; </w:t>
      </w:r>
      <w:r w:rsidRPr="007D4DDF">
        <w:rPr>
          <w:i/>
          <w:iCs/>
          <w:sz w:val="22"/>
        </w:rPr>
        <w:t>J.A. Pye</w:t>
      </w:r>
      <w:r w:rsidRPr="007D4DDF">
        <w:rPr>
          <w:sz w:val="22"/>
        </w:rPr>
        <w:t xml:space="preserve">, cited above, § 57; and </w:t>
      </w:r>
      <w:proofErr w:type="spellStart"/>
      <w:r w:rsidRPr="007D4DDF">
        <w:rPr>
          <w:i/>
          <w:iCs/>
          <w:sz w:val="22"/>
        </w:rPr>
        <w:t>Zagrebačka</w:t>
      </w:r>
      <w:proofErr w:type="spellEnd"/>
      <w:r w:rsidRPr="007D4DDF">
        <w:rPr>
          <w:i/>
          <w:iCs/>
          <w:sz w:val="22"/>
        </w:rPr>
        <w:t xml:space="preserve"> </w:t>
      </w:r>
      <w:proofErr w:type="spellStart"/>
      <w:r w:rsidRPr="007D4DDF">
        <w:rPr>
          <w:i/>
          <w:iCs/>
          <w:sz w:val="22"/>
        </w:rPr>
        <w:t>banka</w:t>
      </w:r>
      <w:proofErr w:type="spellEnd"/>
      <w:r w:rsidRPr="007D4DDF">
        <w:rPr>
          <w:i/>
          <w:iCs/>
          <w:sz w:val="22"/>
        </w:rPr>
        <w:t xml:space="preserve"> </w:t>
      </w:r>
      <w:proofErr w:type="spellStart"/>
      <w:r w:rsidRPr="007D4DDF">
        <w:rPr>
          <w:i/>
          <w:iCs/>
          <w:sz w:val="22"/>
        </w:rPr>
        <w:t>d.d.</w:t>
      </w:r>
      <w:proofErr w:type="spellEnd"/>
      <w:r w:rsidRPr="007D4DDF">
        <w:rPr>
          <w:i/>
          <w:iCs/>
          <w:sz w:val="22"/>
        </w:rPr>
        <w:t xml:space="preserve"> v. Croatia</w:t>
      </w:r>
      <w:r w:rsidRPr="007D4DDF">
        <w:rPr>
          <w:sz w:val="22"/>
        </w:rPr>
        <w:t>, no. 39544/05, §§ 250 and 251, 12 December 2013).</w:t>
      </w:r>
      <w:r w:rsidR="00C34CEE" w:rsidRPr="007D4DDF">
        <w:rPr>
          <w:rStyle w:val="FootnoteReference"/>
          <w:szCs w:val="24"/>
        </w:rPr>
        <w:footnoteReference w:id="104"/>
      </w:r>
      <w:r w:rsidR="00C34CEE" w:rsidRPr="007D4DDF">
        <w:rPr>
          <w:szCs w:val="24"/>
        </w:rPr>
        <w:t xml:space="preserve"> </w:t>
      </w:r>
      <w:r w:rsidR="00C34CEE" w:rsidRPr="007D4DDF" w:rsidDel="00C34CEE">
        <w:rPr>
          <w:rStyle w:val="FootnoteReference"/>
          <w:szCs w:val="24"/>
        </w:rPr>
        <w:t xml:space="preserve"> </w:t>
      </w:r>
    </w:p>
    <w:p w14:paraId="366C4A43" w14:textId="77777777" w:rsidR="007C19A5" w:rsidRPr="007D4DDF" w:rsidRDefault="007C19A5" w:rsidP="00777703">
      <w:pPr>
        <w:spacing w:before="0" w:after="120" w:line="240" w:lineRule="auto"/>
        <w:ind w:left="720"/>
        <w:rPr>
          <w:szCs w:val="24"/>
        </w:rPr>
      </w:pPr>
    </w:p>
    <w:p w14:paraId="7369BD09" w14:textId="238CBEBC" w:rsidR="001A4592" w:rsidRPr="007D4DDF" w:rsidRDefault="006C6D46" w:rsidP="008B1CB3">
      <w:pPr>
        <w:pStyle w:val="Heading3"/>
        <w:spacing w:before="0" w:after="120" w:line="240" w:lineRule="auto"/>
        <w:rPr>
          <w:rFonts w:ascii="Times New Roman" w:hAnsi="Times New Roman"/>
        </w:rPr>
      </w:pPr>
      <w:bookmarkStart w:id="14" w:name="_Toc508191202"/>
      <w:r w:rsidRPr="007D4DDF">
        <w:rPr>
          <w:rFonts w:ascii="Times New Roman" w:hAnsi="Times New Roman"/>
        </w:rPr>
        <w:lastRenderedPageBreak/>
        <w:t>4.4</w:t>
      </w:r>
      <w:r w:rsidR="006E160F">
        <w:rPr>
          <w:rFonts w:ascii="Times New Roman" w:hAnsi="Times New Roman"/>
        </w:rPr>
        <w:t xml:space="preserve">. </w:t>
      </w:r>
      <w:r w:rsidR="00B16295" w:rsidRPr="007D4DDF">
        <w:rPr>
          <w:rFonts w:ascii="Times New Roman" w:hAnsi="Times New Roman"/>
        </w:rPr>
        <w:t xml:space="preserve">Housing </w:t>
      </w:r>
      <w:r w:rsidR="00AE282B" w:rsidRPr="007D4DDF">
        <w:rPr>
          <w:rFonts w:ascii="Times New Roman" w:hAnsi="Times New Roman"/>
        </w:rPr>
        <w:t>R</w:t>
      </w:r>
      <w:r w:rsidR="00B16295" w:rsidRPr="007D4DDF">
        <w:rPr>
          <w:rFonts w:ascii="Times New Roman" w:hAnsi="Times New Roman"/>
        </w:rPr>
        <w:t xml:space="preserve">ights and the </w:t>
      </w:r>
      <w:r w:rsidR="00196196" w:rsidRPr="007D4DDF">
        <w:rPr>
          <w:rFonts w:ascii="Times New Roman" w:hAnsi="Times New Roman"/>
        </w:rPr>
        <w:t>European Union</w:t>
      </w:r>
      <w:bookmarkEnd w:id="14"/>
    </w:p>
    <w:p w14:paraId="3A85F429" w14:textId="77777777" w:rsidR="001A4592" w:rsidRPr="007D4DDF" w:rsidRDefault="00196196" w:rsidP="00395E14">
      <w:pPr>
        <w:spacing w:before="0" w:after="120" w:line="240" w:lineRule="auto"/>
        <w:rPr>
          <w:szCs w:val="24"/>
        </w:rPr>
      </w:pPr>
      <w:r w:rsidRPr="007D4DDF">
        <w:rPr>
          <w:szCs w:val="24"/>
        </w:rPr>
        <w:t xml:space="preserve">Evictions from residential, commercial or </w:t>
      </w:r>
      <w:r w:rsidR="0000263C" w:rsidRPr="007D4DDF">
        <w:rPr>
          <w:szCs w:val="24"/>
        </w:rPr>
        <w:t>state</w:t>
      </w:r>
      <w:r w:rsidRPr="007D4DDF">
        <w:rPr>
          <w:szCs w:val="24"/>
        </w:rPr>
        <w:t xml:space="preserve"> property usually require the invocation </w:t>
      </w:r>
      <w:r w:rsidR="009F441A" w:rsidRPr="007D4DDF">
        <w:rPr>
          <w:szCs w:val="24"/>
        </w:rPr>
        <w:t xml:space="preserve">and enforcement of </w:t>
      </w:r>
      <w:r w:rsidRPr="007D4DDF">
        <w:rPr>
          <w:szCs w:val="24"/>
        </w:rPr>
        <w:t>property law. Each country has its own property law regime, based on national law. National property law systems are very closed, and the development of European harmoni</w:t>
      </w:r>
      <w:r w:rsidR="009134ED">
        <w:rPr>
          <w:szCs w:val="24"/>
        </w:rPr>
        <w:t>z</w:t>
      </w:r>
      <w:r w:rsidRPr="007D4DDF">
        <w:rPr>
          <w:szCs w:val="24"/>
        </w:rPr>
        <w:t>ed standards has been slow and indirect.</w:t>
      </w:r>
      <w:r w:rsidRPr="007D4DDF">
        <w:rPr>
          <w:rStyle w:val="FootnoteReference"/>
          <w:szCs w:val="24"/>
        </w:rPr>
        <w:footnoteReference w:id="105"/>
      </w:r>
      <w:r w:rsidRPr="007D4DDF">
        <w:rPr>
          <w:szCs w:val="24"/>
        </w:rPr>
        <w:t xml:space="preserve"> Indeed, </w:t>
      </w:r>
      <w:r w:rsidR="001D4084" w:rsidRPr="007D4DDF">
        <w:rPr>
          <w:szCs w:val="24"/>
        </w:rPr>
        <w:t>Article</w:t>
      </w:r>
      <w:r w:rsidRPr="007D4DDF">
        <w:rPr>
          <w:szCs w:val="24"/>
        </w:rPr>
        <w:t xml:space="preserve"> 345 </w:t>
      </w:r>
      <w:r w:rsidR="006D4005" w:rsidRPr="007D4DDF">
        <w:rPr>
          <w:szCs w:val="24"/>
        </w:rPr>
        <w:t>Treaty on the Functioning of the European Union (</w:t>
      </w:r>
      <w:r w:rsidRPr="007D4DDF">
        <w:rPr>
          <w:szCs w:val="24"/>
        </w:rPr>
        <w:t>TFEU</w:t>
      </w:r>
      <w:r w:rsidR="006D4005" w:rsidRPr="007D4DDF">
        <w:rPr>
          <w:szCs w:val="24"/>
        </w:rPr>
        <w:t>)</w:t>
      </w:r>
      <w:r w:rsidRPr="007D4DDF">
        <w:rPr>
          <w:szCs w:val="24"/>
        </w:rPr>
        <w:t xml:space="preserve"> specifically precludes Treaty primacy over national systems of property ownership</w:t>
      </w:r>
      <w:r w:rsidR="00E4274E" w:rsidRPr="007D4DDF">
        <w:rPr>
          <w:szCs w:val="24"/>
        </w:rPr>
        <w:t>, and the principles of subsidiarity and proportionality are highly significant</w:t>
      </w:r>
      <w:r w:rsidRPr="007D4DDF">
        <w:rPr>
          <w:szCs w:val="24"/>
        </w:rPr>
        <w:t>.</w:t>
      </w:r>
      <w:r w:rsidR="00EB3075" w:rsidRPr="007D4DDF">
        <w:rPr>
          <w:rStyle w:val="FootnoteReference"/>
          <w:szCs w:val="24"/>
        </w:rPr>
        <w:footnoteReference w:id="106"/>
      </w:r>
      <w:r w:rsidRPr="007D4DDF">
        <w:rPr>
          <w:szCs w:val="24"/>
        </w:rPr>
        <w:t xml:space="preserve"> This mean</w:t>
      </w:r>
      <w:r w:rsidR="009F441A" w:rsidRPr="007D4DDF">
        <w:rPr>
          <w:szCs w:val="24"/>
        </w:rPr>
        <w:t>s</w:t>
      </w:r>
      <w:r w:rsidRPr="007D4DDF">
        <w:rPr>
          <w:szCs w:val="24"/>
        </w:rPr>
        <w:t xml:space="preserve"> that the rules relating to property ownership fall within the sole competence of Member States. But</w:t>
      </w:r>
      <w:r w:rsidR="00D2626A" w:rsidRPr="007D4DDF">
        <w:rPr>
          <w:szCs w:val="24"/>
        </w:rPr>
        <w:t>,</w:t>
      </w:r>
      <w:r w:rsidRPr="007D4DDF">
        <w:rPr>
          <w:szCs w:val="24"/>
        </w:rPr>
        <w:t xml:space="preserve"> although national constitutional law protects private property rights, there is an increasing </w:t>
      </w:r>
      <w:r w:rsidR="007D4DDF" w:rsidRPr="007D4DDF">
        <w:rPr>
          <w:szCs w:val="24"/>
        </w:rPr>
        <w:t>Europeani</w:t>
      </w:r>
      <w:r w:rsidR="007D4DDF">
        <w:rPr>
          <w:szCs w:val="24"/>
        </w:rPr>
        <w:t>z</w:t>
      </w:r>
      <w:r w:rsidR="007D4DDF" w:rsidRPr="007D4DDF">
        <w:rPr>
          <w:szCs w:val="24"/>
        </w:rPr>
        <w:t xml:space="preserve">ation </w:t>
      </w:r>
      <w:r w:rsidRPr="007D4DDF">
        <w:rPr>
          <w:szCs w:val="24"/>
        </w:rPr>
        <w:t>of these rights, especially through t</w:t>
      </w:r>
      <w:r w:rsidR="009F441A" w:rsidRPr="007D4DDF">
        <w:rPr>
          <w:szCs w:val="24"/>
        </w:rPr>
        <w:t>he jurisprudence around Article</w:t>
      </w:r>
      <w:r w:rsidR="00DF5070" w:rsidRPr="007D4DDF">
        <w:rPr>
          <w:szCs w:val="24"/>
        </w:rPr>
        <w:t xml:space="preserve"> </w:t>
      </w:r>
      <w:r w:rsidRPr="007D4DDF">
        <w:rPr>
          <w:szCs w:val="24"/>
        </w:rPr>
        <w:t xml:space="preserve">1 of Protocol 1 </w:t>
      </w:r>
      <w:r w:rsidR="00CA43AD" w:rsidRPr="007D4DDF">
        <w:rPr>
          <w:szCs w:val="24"/>
        </w:rPr>
        <w:t>to</w:t>
      </w:r>
      <w:r w:rsidRPr="007D4DDF">
        <w:rPr>
          <w:szCs w:val="24"/>
        </w:rPr>
        <w:t xml:space="preserve"> the ECHR, as well as the effects of Article 8 ECHR. Indeed, both these provisions have been replicated in the EU Charter of Fundamental Rights</w:t>
      </w:r>
      <w:r w:rsidR="00DF5070" w:rsidRPr="007D4DDF">
        <w:rPr>
          <w:szCs w:val="24"/>
        </w:rPr>
        <w:t>,</w:t>
      </w:r>
      <w:r w:rsidRPr="007D4DDF">
        <w:rPr>
          <w:szCs w:val="24"/>
        </w:rPr>
        <w:t xml:space="preserve"> in force since 2009.</w:t>
      </w:r>
      <w:r w:rsidRPr="007D4DDF">
        <w:rPr>
          <w:rStyle w:val="FootnoteReference"/>
          <w:szCs w:val="24"/>
        </w:rPr>
        <w:footnoteReference w:id="107"/>
      </w:r>
      <w:r w:rsidRPr="007D4DDF">
        <w:rPr>
          <w:szCs w:val="24"/>
        </w:rPr>
        <w:t xml:space="preserve"> E</w:t>
      </w:r>
      <w:r w:rsidR="00EF58C7" w:rsidRPr="007D4DDF">
        <w:rPr>
          <w:szCs w:val="24"/>
        </w:rPr>
        <w:t xml:space="preserve">uropean </w:t>
      </w:r>
      <w:r w:rsidRPr="007D4DDF">
        <w:rPr>
          <w:szCs w:val="24"/>
        </w:rPr>
        <w:t>U</w:t>
      </w:r>
      <w:r w:rsidR="00EF58C7" w:rsidRPr="007D4DDF">
        <w:rPr>
          <w:szCs w:val="24"/>
        </w:rPr>
        <w:t>nion</w:t>
      </w:r>
      <w:r w:rsidRPr="007D4DDF">
        <w:rPr>
          <w:szCs w:val="24"/>
        </w:rPr>
        <w:t xml:space="preserve"> Treaty provisions on establishing and ensuring the single market (Art</w:t>
      </w:r>
      <w:r w:rsidR="001D4084" w:rsidRPr="007D4DDF">
        <w:rPr>
          <w:szCs w:val="24"/>
        </w:rPr>
        <w:t>icle</w:t>
      </w:r>
      <w:r w:rsidRPr="007D4DDF">
        <w:rPr>
          <w:szCs w:val="24"/>
        </w:rPr>
        <w:t xml:space="preserve"> 26 TFEU) can impact on national property law. Consumer law provisions, and especially the </w:t>
      </w:r>
      <w:r w:rsidR="008D20C6" w:rsidRPr="007D4DDF">
        <w:rPr>
          <w:szCs w:val="24"/>
        </w:rPr>
        <w:t>U</w:t>
      </w:r>
      <w:r w:rsidRPr="007D4DDF">
        <w:rPr>
          <w:szCs w:val="24"/>
        </w:rPr>
        <w:t xml:space="preserve">nfair </w:t>
      </w:r>
      <w:r w:rsidR="008D20C6" w:rsidRPr="007D4DDF">
        <w:rPr>
          <w:szCs w:val="24"/>
        </w:rPr>
        <w:t>C</w:t>
      </w:r>
      <w:r w:rsidRPr="007D4DDF">
        <w:rPr>
          <w:szCs w:val="24"/>
        </w:rPr>
        <w:t xml:space="preserve">ontract </w:t>
      </w:r>
      <w:r w:rsidR="008D20C6" w:rsidRPr="007D4DDF">
        <w:rPr>
          <w:szCs w:val="24"/>
        </w:rPr>
        <w:t>T</w:t>
      </w:r>
      <w:r w:rsidRPr="007D4DDF">
        <w:rPr>
          <w:szCs w:val="24"/>
        </w:rPr>
        <w:t xml:space="preserve">erms </w:t>
      </w:r>
      <w:r w:rsidR="008D20C6" w:rsidRPr="007D4DDF">
        <w:rPr>
          <w:szCs w:val="24"/>
        </w:rPr>
        <w:t>D</w:t>
      </w:r>
      <w:r w:rsidRPr="007D4DDF">
        <w:rPr>
          <w:szCs w:val="24"/>
        </w:rPr>
        <w:t>irective</w:t>
      </w:r>
      <w:r w:rsidR="00DF5070" w:rsidRPr="007D4DDF">
        <w:rPr>
          <w:szCs w:val="24"/>
        </w:rPr>
        <w:t>,</w:t>
      </w:r>
      <w:r w:rsidRPr="007D4DDF">
        <w:rPr>
          <w:szCs w:val="24"/>
        </w:rPr>
        <w:t xml:space="preserve"> are leading to harmoni</w:t>
      </w:r>
      <w:r w:rsidR="009134ED">
        <w:rPr>
          <w:szCs w:val="24"/>
        </w:rPr>
        <w:t>z</w:t>
      </w:r>
      <w:r w:rsidRPr="007D4DDF">
        <w:rPr>
          <w:szCs w:val="24"/>
        </w:rPr>
        <w:t xml:space="preserve">ed standards in relation to the enforcement of mortgage security over property. Perhaps the most significant and </w:t>
      </w:r>
      <w:r w:rsidR="00DF5070" w:rsidRPr="007D4DDF">
        <w:rPr>
          <w:szCs w:val="24"/>
        </w:rPr>
        <w:t>far-</w:t>
      </w:r>
      <w:r w:rsidRPr="007D4DDF">
        <w:rPr>
          <w:szCs w:val="24"/>
        </w:rPr>
        <w:t xml:space="preserve">reaching </w:t>
      </w:r>
      <w:r w:rsidR="007D4DDF" w:rsidRPr="007D4DDF">
        <w:rPr>
          <w:szCs w:val="24"/>
        </w:rPr>
        <w:t>harmoni</w:t>
      </w:r>
      <w:r w:rsidR="007D4DDF">
        <w:rPr>
          <w:szCs w:val="24"/>
        </w:rPr>
        <w:t>z</w:t>
      </w:r>
      <w:r w:rsidR="007D4DDF" w:rsidRPr="007D4DDF">
        <w:rPr>
          <w:szCs w:val="24"/>
        </w:rPr>
        <w:t xml:space="preserve">ation </w:t>
      </w:r>
      <w:r w:rsidRPr="007D4DDF">
        <w:rPr>
          <w:szCs w:val="24"/>
        </w:rPr>
        <w:t>of property law in the EU has taken place through the adoption of the Mortgage Credit Directive (</w:t>
      </w:r>
      <w:r w:rsidR="00433F44" w:rsidRPr="007D4DDF">
        <w:rPr>
          <w:szCs w:val="24"/>
        </w:rPr>
        <w:t>M</w:t>
      </w:r>
      <w:r w:rsidR="00110856" w:rsidRPr="007D4DDF">
        <w:rPr>
          <w:szCs w:val="24"/>
        </w:rPr>
        <w:t>CD</w:t>
      </w:r>
      <w:r w:rsidRPr="007D4DDF">
        <w:rPr>
          <w:szCs w:val="24"/>
        </w:rPr>
        <w:t>).</w:t>
      </w:r>
      <w:r w:rsidRPr="007D4DDF">
        <w:rPr>
          <w:rStyle w:val="FootnoteReference"/>
          <w:szCs w:val="24"/>
        </w:rPr>
        <w:footnoteReference w:id="108"/>
      </w:r>
    </w:p>
    <w:p w14:paraId="3FF4A655" w14:textId="77777777" w:rsidR="00E4274E" w:rsidRPr="007D4DDF" w:rsidRDefault="00196196" w:rsidP="00395E14">
      <w:pPr>
        <w:pStyle w:val="c02alineaalta"/>
        <w:spacing w:before="0" w:beforeAutospacing="0" w:after="120" w:afterAutospacing="0" w:line="240" w:lineRule="auto"/>
        <w:rPr>
          <w:rFonts w:ascii="Times New Roman" w:hAnsi="Times New Roman"/>
          <w:sz w:val="24"/>
          <w:szCs w:val="24"/>
          <w:lang w:val="en-GB"/>
        </w:rPr>
      </w:pPr>
      <w:r w:rsidRPr="007D4DDF">
        <w:rPr>
          <w:rFonts w:ascii="Times New Roman" w:eastAsia="MS Mincho" w:hAnsi="Times New Roman"/>
          <w:sz w:val="24"/>
          <w:szCs w:val="24"/>
          <w:lang w:val="en-GB" w:eastAsia="ja-JP"/>
        </w:rPr>
        <w:t xml:space="preserve">The MCD proposed </w:t>
      </w:r>
      <w:r w:rsidRPr="007D4DDF">
        <w:rPr>
          <w:rFonts w:ascii="Times New Roman" w:hAnsi="Times New Roman"/>
          <w:sz w:val="24"/>
          <w:szCs w:val="24"/>
          <w:lang w:val="en-GB"/>
        </w:rPr>
        <w:t>an EU harmoni</w:t>
      </w:r>
      <w:r w:rsidR="009134ED">
        <w:rPr>
          <w:rFonts w:ascii="Times New Roman" w:hAnsi="Times New Roman"/>
          <w:sz w:val="24"/>
          <w:szCs w:val="24"/>
          <w:lang w:val="en-GB"/>
        </w:rPr>
        <w:t>z</w:t>
      </w:r>
      <w:r w:rsidRPr="007D4DDF">
        <w:rPr>
          <w:rFonts w:ascii="Times New Roman" w:hAnsi="Times New Roman"/>
          <w:sz w:val="24"/>
          <w:szCs w:val="24"/>
          <w:lang w:val="en-GB"/>
        </w:rPr>
        <w:t>ed legal framework on mortgage law, including significant measures in relation to home possession in cases of mortgage arrears. This was created:</w:t>
      </w:r>
    </w:p>
    <w:p w14:paraId="279DD1C3" w14:textId="2CC8858E" w:rsidR="001A4592" w:rsidRPr="007D4DDF" w:rsidRDefault="00196196" w:rsidP="00777703">
      <w:pPr>
        <w:pStyle w:val="c02alineaalta"/>
        <w:spacing w:before="0" w:beforeAutospacing="0" w:after="120" w:afterAutospacing="0" w:line="240" w:lineRule="auto"/>
        <w:ind w:left="720"/>
        <w:rPr>
          <w:rFonts w:ascii="Times New Roman" w:eastAsia="Times New Roman" w:hAnsi="Times New Roman"/>
          <w:sz w:val="24"/>
          <w:szCs w:val="24"/>
          <w:lang w:val="en-GB"/>
        </w:rPr>
      </w:pPr>
      <w:r w:rsidRPr="007D4DDF">
        <w:rPr>
          <w:rFonts w:ascii="Times New Roman" w:eastAsia="Times New Roman" w:hAnsi="Times New Roman"/>
          <w:sz w:val="22"/>
          <w:szCs w:val="22"/>
          <w:lang w:val="en-GB"/>
        </w:rPr>
        <w:t>In order to facilitate the emergence of a smoothly functioning internal market with a high level of consumer protection in the area of credit agreements relating to immovable property and in order to ensure that consumers looking for such agreements are able to do so confident in the knowledge that the institutions they interact with act in a professional and responsible manner, an appropriately harmonised Union legal framework needs to be established in a number of areas, taking into account differences in credit agreements arising in particular from differences in national and regional immovable property markets.</w:t>
      </w:r>
      <w:r w:rsidRPr="007D4DDF">
        <w:rPr>
          <w:rStyle w:val="FootnoteReference"/>
          <w:rFonts w:ascii="Times New Roman" w:hAnsi="Times New Roman"/>
          <w:sz w:val="24"/>
          <w:szCs w:val="24"/>
          <w:lang w:val="en-GB"/>
        </w:rPr>
        <w:footnoteReference w:id="109"/>
      </w:r>
    </w:p>
    <w:p w14:paraId="6C84F93C" w14:textId="77777777" w:rsidR="001A4592" w:rsidRPr="007D4DDF" w:rsidRDefault="00196196" w:rsidP="00777703">
      <w:pPr>
        <w:spacing w:before="0" w:after="120" w:line="240" w:lineRule="auto"/>
        <w:rPr>
          <w:szCs w:val="24"/>
        </w:rPr>
      </w:pPr>
      <w:r w:rsidRPr="007D4DDF">
        <w:rPr>
          <w:szCs w:val="24"/>
        </w:rPr>
        <w:t>Article 28 of the MCD deals with this concept of arrears and foreclosure</w:t>
      </w:r>
      <w:r w:rsidR="00DF5070" w:rsidRPr="007D4DDF">
        <w:rPr>
          <w:szCs w:val="24"/>
        </w:rPr>
        <w:t>,</w:t>
      </w:r>
      <w:r w:rsidRPr="007D4DDF">
        <w:rPr>
          <w:szCs w:val="24"/>
        </w:rPr>
        <w:t xml:space="preserve"> creating a </w:t>
      </w:r>
      <w:r w:rsidR="009134ED" w:rsidRPr="007D4DDF">
        <w:rPr>
          <w:szCs w:val="24"/>
        </w:rPr>
        <w:t>harmoni</w:t>
      </w:r>
      <w:r w:rsidR="009134ED">
        <w:rPr>
          <w:szCs w:val="24"/>
        </w:rPr>
        <w:t>z</w:t>
      </w:r>
      <w:r w:rsidR="009134ED" w:rsidRPr="007D4DDF">
        <w:rPr>
          <w:szCs w:val="24"/>
        </w:rPr>
        <w:t xml:space="preserve">ed </w:t>
      </w:r>
      <w:r w:rsidRPr="007D4DDF">
        <w:rPr>
          <w:szCs w:val="24"/>
        </w:rPr>
        <w:t xml:space="preserve">approach to the enforcement of security for mortgages on property and of </w:t>
      </w:r>
      <w:r w:rsidRPr="007D4DDF">
        <w:rPr>
          <w:szCs w:val="24"/>
        </w:rPr>
        <w:lastRenderedPageBreak/>
        <w:t xml:space="preserve">course, the concurrent exclusion from occupation of the debtor. Subsection 1 of Article 28 states that </w:t>
      </w:r>
      <w:r w:rsidR="00165FAE" w:rsidRPr="007D4DDF">
        <w:rPr>
          <w:szCs w:val="24"/>
        </w:rPr>
        <w:t>‘</w:t>
      </w:r>
      <w:r w:rsidRPr="007D4DDF">
        <w:rPr>
          <w:szCs w:val="24"/>
        </w:rPr>
        <w:t>Member States shall adopt measures to encourage creditors to exercise reasonable forbearance before foreclosure proceedings are initiated</w:t>
      </w:r>
      <w:r w:rsidR="00DF5070" w:rsidRPr="007D4DDF">
        <w:rPr>
          <w:szCs w:val="24"/>
        </w:rPr>
        <w:t>.</w:t>
      </w:r>
      <w:r w:rsidR="00165FAE" w:rsidRPr="007D4DDF">
        <w:rPr>
          <w:szCs w:val="24"/>
        </w:rPr>
        <w:t>’</w:t>
      </w:r>
      <w:r w:rsidR="008B6573" w:rsidRPr="007D4DDF">
        <w:rPr>
          <w:rStyle w:val="FootnoteReference"/>
          <w:szCs w:val="24"/>
        </w:rPr>
        <w:footnoteReference w:id="110"/>
      </w:r>
      <w:r w:rsidRPr="007D4DDF">
        <w:rPr>
          <w:szCs w:val="24"/>
        </w:rPr>
        <w:t xml:space="preserve"> This</w:t>
      </w:r>
      <w:r w:rsidR="00A30391" w:rsidRPr="007D4DDF">
        <w:rPr>
          <w:szCs w:val="24"/>
        </w:rPr>
        <w:t xml:space="preserve"> </w:t>
      </w:r>
      <w:r w:rsidRPr="007D4DDF">
        <w:rPr>
          <w:szCs w:val="24"/>
        </w:rPr>
        <w:t>concept of reasonable forbearance was solidified by the European Banking Authority (EBA) and the European Central Bank (ECB)</w:t>
      </w:r>
      <w:r w:rsidR="00110856" w:rsidRPr="007D4DDF">
        <w:rPr>
          <w:szCs w:val="24"/>
        </w:rPr>
        <w:t>,</w:t>
      </w:r>
      <w:r w:rsidRPr="007D4DDF">
        <w:rPr>
          <w:szCs w:val="24"/>
        </w:rPr>
        <w:t xml:space="preserve"> bodies created as part of the mechanism of the European System of Financial Supervision</w:t>
      </w:r>
      <w:r w:rsidR="00DF5070" w:rsidRPr="007D4DDF">
        <w:rPr>
          <w:szCs w:val="24"/>
        </w:rPr>
        <w:t>,</w:t>
      </w:r>
      <w:r w:rsidRPr="007D4DDF">
        <w:rPr>
          <w:szCs w:val="24"/>
        </w:rPr>
        <w:t xml:space="preserve"> which was in turn set up to ensure cohesion and consistency of the EU financial system, promoting the proper functioning of the internal market.</w:t>
      </w:r>
      <w:r w:rsidRPr="007D4DDF">
        <w:rPr>
          <w:rStyle w:val="FootnoteReference"/>
          <w:szCs w:val="24"/>
        </w:rPr>
        <w:footnoteReference w:id="111"/>
      </w:r>
      <w:r w:rsidR="00A30391" w:rsidRPr="007D4DDF">
        <w:rPr>
          <w:szCs w:val="24"/>
        </w:rPr>
        <w:t xml:space="preserve"> </w:t>
      </w:r>
      <w:r w:rsidRPr="007D4DDF">
        <w:rPr>
          <w:szCs w:val="24"/>
        </w:rPr>
        <w:t>Following the enactment of the MCD, the EBA published</w:t>
      </w:r>
      <w:r w:rsidR="00DF5070" w:rsidRPr="007D4DDF">
        <w:rPr>
          <w:szCs w:val="24"/>
        </w:rPr>
        <w:t xml:space="preserve"> its</w:t>
      </w:r>
      <w:r w:rsidRPr="007D4DDF">
        <w:rPr>
          <w:szCs w:val="24"/>
        </w:rPr>
        <w:t xml:space="preserve"> </w:t>
      </w:r>
      <w:r w:rsidRPr="007D4DDF">
        <w:rPr>
          <w:i/>
          <w:szCs w:val="24"/>
        </w:rPr>
        <w:t>Final Report on Guidelines on Arrears and Foreclosure</w:t>
      </w:r>
      <w:r w:rsidRPr="007D4DDF">
        <w:rPr>
          <w:rStyle w:val="FootnoteReference"/>
          <w:szCs w:val="24"/>
        </w:rPr>
        <w:footnoteReference w:id="112"/>
      </w:r>
      <w:r w:rsidRPr="007D4DDF">
        <w:rPr>
          <w:szCs w:val="24"/>
        </w:rPr>
        <w:t xml:space="preserve"> </w:t>
      </w:r>
      <w:r w:rsidR="00603C2B" w:rsidRPr="007D4DDF">
        <w:rPr>
          <w:szCs w:val="24"/>
        </w:rPr>
        <w:t xml:space="preserve">(the </w:t>
      </w:r>
      <w:r w:rsidR="00603C2B" w:rsidRPr="007D4DDF">
        <w:rPr>
          <w:i/>
          <w:szCs w:val="24"/>
        </w:rPr>
        <w:t>Guidelines</w:t>
      </w:r>
      <w:r w:rsidR="00603C2B" w:rsidRPr="007D4DDF">
        <w:rPr>
          <w:szCs w:val="24"/>
        </w:rPr>
        <w:t xml:space="preserve">) </w:t>
      </w:r>
      <w:r w:rsidRPr="007D4DDF">
        <w:rPr>
          <w:szCs w:val="24"/>
        </w:rPr>
        <w:t>to assist Member States in complying with their obligations under Article 28 of the MCD.</w:t>
      </w:r>
      <w:r w:rsidRPr="007D4DDF">
        <w:rPr>
          <w:rStyle w:val="FootnoteReference"/>
          <w:szCs w:val="24"/>
        </w:rPr>
        <w:footnoteReference w:id="113"/>
      </w:r>
      <w:r w:rsidRPr="007D4DDF">
        <w:rPr>
          <w:szCs w:val="24"/>
        </w:rPr>
        <w:t xml:space="preserve"> The </w:t>
      </w:r>
      <w:r w:rsidR="00810A0C" w:rsidRPr="007D4DDF">
        <w:rPr>
          <w:i/>
          <w:szCs w:val="24"/>
        </w:rPr>
        <w:t>Guidelines</w:t>
      </w:r>
      <w:r w:rsidRPr="007D4DDF">
        <w:rPr>
          <w:szCs w:val="24"/>
        </w:rPr>
        <w:t xml:space="preserve"> cover all stages of the mortgage process from </w:t>
      </w:r>
      <w:r w:rsidR="00165FAE" w:rsidRPr="007D4DDF">
        <w:rPr>
          <w:szCs w:val="24"/>
        </w:rPr>
        <w:t>‘</w:t>
      </w:r>
      <w:r w:rsidRPr="007D4DDF">
        <w:rPr>
          <w:szCs w:val="24"/>
        </w:rPr>
        <w:t>establishment of policies and procedures</w:t>
      </w:r>
      <w:r w:rsidR="00165FAE" w:rsidRPr="007D4DDF">
        <w:rPr>
          <w:szCs w:val="24"/>
        </w:rPr>
        <w:t>’</w:t>
      </w:r>
      <w:r w:rsidRPr="007D4DDF">
        <w:rPr>
          <w:szCs w:val="24"/>
        </w:rPr>
        <w:t xml:space="preserve"> prior to the engagement with consumers,</w:t>
      </w:r>
      <w:r w:rsidRPr="007D4DDF">
        <w:rPr>
          <w:rStyle w:val="FootnoteReference"/>
          <w:szCs w:val="24"/>
        </w:rPr>
        <w:footnoteReference w:id="114"/>
      </w:r>
      <w:r w:rsidRPr="007D4DDF">
        <w:rPr>
          <w:szCs w:val="24"/>
        </w:rPr>
        <w:t xml:space="preserve"> through the initial and ongoing engagement with the consumer,</w:t>
      </w:r>
      <w:r w:rsidRPr="007D4DDF">
        <w:rPr>
          <w:rStyle w:val="FootnoteReference"/>
          <w:szCs w:val="24"/>
        </w:rPr>
        <w:footnoteReference w:id="115"/>
      </w:r>
      <w:r w:rsidRPr="007D4DDF">
        <w:rPr>
          <w:szCs w:val="24"/>
        </w:rPr>
        <w:t xml:space="preserve"> to the resolution of a situation where a consumer has fallen into arrears.</w:t>
      </w:r>
      <w:r w:rsidRPr="007D4DDF">
        <w:rPr>
          <w:rStyle w:val="FootnoteReference"/>
          <w:szCs w:val="24"/>
        </w:rPr>
        <w:footnoteReference w:id="116"/>
      </w:r>
      <w:r w:rsidRPr="007D4DDF">
        <w:rPr>
          <w:szCs w:val="24"/>
        </w:rPr>
        <w:t xml:space="preserve"> Guideline 4, on the “resolution process”, provides more extensive information on what Article 28 of the MCD considers </w:t>
      </w:r>
      <w:r w:rsidR="00FF35F0" w:rsidRPr="007D4DDF">
        <w:rPr>
          <w:szCs w:val="24"/>
        </w:rPr>
        <w:t>‘</w:t>
      </w:r>
      <w:r w:rsidRPr="007D4DDF">
        <w:rPr>
          <w:szCs w:val="24"/>
        </w:rPr>
        <w:t>forbearance measures</w:t>
      </w:r>
      <w:r w:rsidR="00FF35F0" w:rsidRPr="007D4DDF">
        <w:rPr>
          <w:szCs w:val="24"/>
        </w:rPr>
        <w:t>’</w:t>
      </w:r>
      <w:r w:rsidRPr="007D4DDF">
        <w:rPr>
          <w:szCs w:val="24"/>
        </w:rPr>
        <w:t xml:space="preserve">. This gives a non-exhaustive list of possible modifications a credit institution should consider when exercising forbearance in the resolution of a credit account in payment difficulties. These </w:t>
      </w:r>
      <w:r w:rsidR="00DF5070" w:rsidRPr="007D4DDF">
        <w:rPr>
          <w:szCs w:val="24"/>
        </w:rPr>
        <w:t>are</w:t>
      </w:r>
      <w:r w:rsidRPr="007D4DDF">
        <w:rPr>
          <w:szCs w:val="24"/>
        </w:rPr>
        <w:t xml:space="preserve">: </w:t>
      </w:r>
      <w:r w:rsidR="00FF35F0" w:rsidRPr="007D4DDF">
        <w:rPr>
          <w:szCs w:val="24"/>
        </w:rPr>
        <w:t>‘</w:t>
      </w:r>
      <w:r w:rsidRPr="007D4DDF">
        <w:rPr>
          <w:szCs w:val="24"/>
        </w:rPr>
        <w:t>a) extending the term of the mortgage; b) changing the type of the mortgage</w:t>
      </w:r>
      <w:r w:rsidR="00DF5070" w:rsidRPr="007D4DDF">
        <w:rPr>
          <w:szCs w:val="24"/>
        </w:rPr>
        <w:t xml:space="preserve"> …</w:t>
      </w:r>
      <w:r w:rsidRPr="007D4DDF">
        <w:rPr>
          <w:szCs w:val="24"/>
        </w:rPr>
        <w:t>; c) deferring payment</w:t>
      </w:r>
      <w:r w:rsidR="00DF5070" w:rsidRPr="007D4DDF">
        <w:rPr>
          <w:szCs w:val="24"/>
        </w:rPr>
        <w:t xml:space="preserve"> …</w:t>
      </w:r>
      <w:r w:rsidRPr="007D4DDF">
        <w:rPr>
          <w:szCs w:val="24"/>
        </w:rPr>
        <w:t>; d) changing the interest rate; [and] offering a payment holiday</w:t>
      </w:r>
      <w:r w:rsidR="00FF35F0" w:rsidRPr="007D4DDF">
        <w:rPr>
          <w:szCs w:val="24"/>
        </w:rPr>
        <w:t>’</w:t>
      </w:r>
      <w:r w:rsidR="00DF5070" w:rsidRPr="007D4DDF">
        <w:rPr>
          <w:szCs w:val="24"/>
        </w:rPr>
        <w:t>.</w:t>
      </w:r>
      <w:r w:rsidRPr="007D4DDF">
        <w:rPr>
          <w:rStyle w:val="FootnoteReference"/>
          <w:szCs w:val="24"/>
        </w:rPr>
        <w:footnoteReference w:id="117"/>
      </w:r>
    </w:p>
    <w:p w14:paraId="445A5301" w14:textId="77777777" w:rsidR="001A4592" w:rsidRPr="007D4DDF" w:rsidRDefault="00196196" w:rsidP="00777703">
      <w:pPr>
        <w:spacing w:before="0" w:after="120" w:line="240" w:lineRule="auto"/>
        <w:rPr>
          <w:rStyle w:val="Emphasis"/>
          <w:i w:val="0"/>
          <w:szCs w:val="24"/>
        </w:rPr>
      </w:pPr>
      <w:r w:rsidRPr="007D4DDF">
        <w:rPr>
          <w:szCs w:val="24"/>
        </w:rPr>
        <w:t xml:space="preserve">Forbearance measures are considered more closely by the ECB in Part 4 of its </w:t>
      </w:r>
      <w:r w:rsidRPr="007D4DDF">
        <w:rPr>
          <w:i/>
          <w:szCs w:val="24"/>
        </w:rPr>
        <w:t xml:space="preserve">Guidance to </w:t>
      </w:r>
      <w:r w:rsidR="00DF5070" w:rsidRPr="007D4DDF">
        <w:rPr>
          <w:i/>
          <w:szCs w:val="24"/>
        </w:rPr>
        <w:t xml:space="preserve">Banks </w:t>
      </w:r>
      <w:r w:rsidRPr="007D4DDF">
        <w:rPr>
          <w:i/>
          <w:szCs w:val="24"/>
        </w:rPr>
        <w:t xml:space="preserve">on </w:t>
      </w:r>
      <w:r w:rsidR="00DF5070" w:rsidRPr="007D4DDF">
        <w:rPr>
          <w:i/>
          <w:szCs w:val="24"/>
        </w:rPr>
        <w:t xml:space="preserve">Non-Performing Loans </w:t>
      </w:r>
      <w:r w:rsidRPr="007D4DDF">
        <w:rPr>
          <w:szCs w:val="24"/>
        </w:rPr>
        <w:t xml:space="preserve">(the </w:t>
      </w:r>
      <w:r w:rsidR="00810A0C" w:rsidRPr="007D4DDF">
        <w:rPr>
          <w:i/>
          <w:szCs w:val="24"/>
        </w:rPr>
        <w:t>Guidance</w:t>
      </w:r>
      <w:r w:rsidRPr="007D4DDF">
        <w:rPr>
          <w:szCs w:val="24"/>
        </w:rPr>
        <w:t>) of March 2017.</w:t>
      </w:r>
      <w:r w:rsidRPr="007D4DDF">
        <w:rPr>
          <w:rStyle w:val="FootnoteReference"/>
          <w:szCs w:val="24"/>
        </w:rPr>
        <w:footnoteReference w:id="118"/>
      </w:r>
      <w:r w:rsidRPr="007D4DDF">
        <w:rPr>
          <w:szCs w:val="24"/>
        </w:rPr>
        <w:t xml:space="preserve"> It should be noted that unlike the </w:t>
      </w:r>
      <w:r w:rsidR="00810A0C" w:rsidRPr="007D4DDF">
        <w:rPr>
          <w:i/>
          <w:szCs w:val="24"/>
        </w:rPr>
        <w:t>Guidelines</w:t>
      </w:r>
      <w:r w:rsidRPr="007D4DDF">
        <w:rPr>
          <w:szCs w:val="24"/>
        </w:rPr>
        <w:t xml:space="preserve"> of the EBA, the </w:t>
      </w:r>
      <w:r w:rsidR="00810A0C" w:rsidRPr="007D4DDF">
        <w:rPr>
          <w:i/>
          <w:szCs w:val="24"/>
        </w:rPr>
        <w:t>Guidance</w:t>
      </w:r>
      <w:r w:rsidRPr="007D4DDF">
        <w:rPr>
          <w:szCs w:val="24"/>
        </w:rPr>
        <w:t xml:space="preserve"> is not limited to mortgage credit agreements, but rather applies to all non-performing loans (NPLs)</w:t>
      </w:r>
      <w:r w:rsidR="00110856" w:rsidRPr="007D4DDF">
        <w:rPr>
          <w:szCs w:val="24"/>
        </w:rPr>
        <w:t>,</w:t>
      </w:r>
      <w:r w:rsidRPr="007D4DDF">
        <w:rPr>
          <w:szCs w:val="24"/>
        </w:rPr>
        <w:t xml:space="preserve"> as its title suggests. </w:t>
      </w:r>
      <w:r w:rsidR="008B5AF6">
        <w:rPr>
          <w:szCs w:val="24"/>
        </w:rPr>
        <w:t xml:space="preserve">This includes those mortgages excluded from the MCD provisions </w:t>
      </w:r>
      <w:proofErr w:type="spellStart"/>
      <w:r w:rsidR="008B5AF6">
        <w:rPr>
          <w:szCs w:val="24"/>
        </w:rPr>
        <w:t>ie</w:t>
      </w:r>
      <w:proofErr w:type="spellEnd"/>
      <w:r w:rsidR="008B5AF6">
        <w:rPr>
          <w:szCs w:val="24"/>
        </w:rPr>
        <w:t xml:space="preserve">. pre 2016 mortgages. </w:t>
      </w:r>
      <w:r w:rsidRPr="007D4DDF">
        <w:rPr>
          <w:szCs w:val="24"/>
        </w:rPr>
        <w:t xml:space="preserve">The centre of focus is not the consumer in payment difficulties, but rather the financial institution itself when affected by a high level of NPLs. </w:t>
      </w:r>
      <w:r w:rsidR="00E4274E" w:rsidRPr="007D4DDF">
        <w:rPr>
          <w:szCs w:val="24"/>
        </w:rPr>
        <w:t>These</w:t>
      </w:r>
      <w:r w:rsidR="00035758" w:rsidRPr="007D4DDF">
        <w:rPr>
          <w:szCs w:val="24"/>
        </w:rPr>
        <w:t xml:space="preserve"> </w:t>
      </w:r>
      <w:r w:rsidRPr="007D4DDF">
        <w:rPr>
          <w:szCs w:val="24"/>
        </w:rPr>
        <w:t xml:space="preserve">(also referred to as non-performing exposures), for the purposes of the </w:t>
      </w:r>
      <w:r w:rsidR="00810A0C" w:rsidRPr="007D4DDF">
        <w:rPr>
          <w:i/>
          <w:szCs w:val="24"/>
        </w:rPr>
        <w:t>Guidance</w:t>
      </w:r>
      <w:r w:rsidRPr="007D4DDF">
        <w:rPr>
          <w:szCs w:val="24"/>
        </w:rPr>
        <w:t xml:space="preserve">, are </w:t>
      </w:r>
      <w:r w:rsidR="005F2689" w:rsidRPr="007D4DDF">
        <w:rPr>
          <w:szCs w:val="24"/>
        </w:rPr>
        <w:lastRenderedPageBreak/>
        <w:t>‘</w:t>
      </w:r>
      <w:r w:rsidRPr="007D4DDF">
        <w:rPr>
          <w:szCs w:val="24"/>
        </w:rPr>
        <w:t>material exposures which are more than 90 days past</w:t>
      </w:r>
      <w:r w:rsidR="006771D4" w:rsidRPr="007D4DDF">
        <w:rPr>
          <w:szCs w:val="24"/>
        </w:rPr>
        <w:t xml:space="preserve"> </w:t>
      </w:r>
      <w:r w:rsidRPr="007D4DDF">
        <w:rPr>
          <w:szCs w:val="24"/>
        </w:rPr>
        <w:t>due</w:t>
      </w:r>
      <w:r w:rsidR="005F2689" w:rsidRPr="007D4DDF">
        <w:rPr>
          <w:szCs w:val="24"/>
        </w:rPr>
        <w:t>’</w:t>
      </w:r>
      <w:r w:rsidRPr="007D4DDF">
        <w:rPr>
          <w:szCs w:val="24"/>
        </w:rPr>
        <w:t xml:space="preserve"> and/or situations where </w:t>
      </w:r>
      <w:r w:rsidR="005F2689" w:rsidRPr="007D4DDF">
        <w:rPr>
          <w:szCs w:val="24"/>
        </w:rPr>
        <w:t>‘</w:t>
      </w:r>
      <w:r w:rsidRPr="007D4DDF">
        <w:rPr>
          <w:szCs w:val="24"/>
        </w:rPr>
        <w:t xml:space="preserve">the debtor is assessed as unlikely to pay its credit obligations in full without </w:t>
      </w:r>
      <w:r w:rsidR="007D4DDF" w:rsidRPr="007D4DDF">
        <w:rPr>
          <w:szCs w:val="24"/>
        </w:rPr>
        <w:t>reali</w:t>
      </w:r>
      <w:r w:rsidR="007D4DDF">
        <w:rPr>
          <w:szCs w:val="24"/>
        </w:rPr>
        <w:t>z</w:t>
      </w:r>
      <w:r w:rsidR="007D4DDF" w:rsidRPr="007D4DDF">
        <w:rPr>
          <w:szCs w:val="24"/>
        </w:rPr>
        <w:t xml:space="preserve">ation </w:t>
      </w:r>
      <w:r w:rsidRPr="007D4DDF">
        <w:rPr>
          <w:szCs w:val="24"/>
        </w:rPr>
        <w:t>of collateral, regardless of the existence of any past-due amount or of the number of days past due</w:t>
      </w:r>
      <w:r w:rsidR="005F2689" w:rsidRPr="007D4DDF">
        <w:rPr>
          <w:szCs w:val="24"/>
        </w:rPr>
        <w:t>’</w:t>
      </w:r>
      <w:r w:rsidRPr="007D4DDF">
        <w:rPr>
          <w:szCs w:val="24"/>
        </w:rPr>
        <w:t>.</w:t>
      </w:r>
      <w:r w:rsidRPr="007D4DDF">
        <w:rPr>
          <w:rStyle w:val="FootnoteReference"/>
          <w:szCs w:val="24"/>
        </w:rPr>
        <w:footnoteReference w:id="119"/>
      </w:r>
      <w:r w:rsidRPr="007D4DDF">
        <w:rPr>
          <w:szCs w:val="24"/>
        </w:rPr>
        <w:t xml:space="preserve"> </w:t>
      </w:r>
      <w:r w:rsidRPr="007D4DDF">
        <w:rPr>
          <w:rStyle w:val="Emphasis"/>
          <w:i w:val="0"/>
          <w:szCs w:val="24"/>
        </w:rPr>
        <w:t xml:space="preserve">The list of forbearance measures proposed by the ECB in the </w:t>
      </w:r>
      <w:r w:rsidR="00810A0C" w:rsidRPr="007D4DDF">
        <w:rPr>
          <w:rStyle w:val="Emphasis"/>
          <w:szCs w:val="24"/>
        </w:rPr>
        <w:t>Guidance</w:t>
      </w:r>
      <w:r w:rsidRPr="007D4DDF">
        <w:rPr>
          <w:rStyle w:val="Emphasis"/>
          <w:i w:val="0"/>
          <w:szCs w:val="24"/>
        </w:rPr>
        <w:t xml:space="preserve"> is non-exhaustive, </w:t>
      </w:r>
      <w:r w:rsidR="005B5A8D" w:rsidRPr="007D4DDF">
        <w:rPr>
          <w:rStyle w:val="Emphasis"/>
          <w:i w:val="0"/>
          <w:szCs w:val="24"/>
        </w:rPr>
        <w:t xml:space="preserve">similar to </w:t>
      </w:r>
      <w:r w:rsidRPr="007D4DDF">
        <w:rPr>
          <w:rStyle w:val="Emphasis"/>
          <w:i w:val="0"/>
          <w:szCs w:val="24"/>
        </w:rPr>
        <w:t xml:space="preserve">the list provided by the EBA in its </w:t>
      </w:r>
      <w:r w:rsidR="00810A0C" w:rsidRPr="007D4DDF">
        <w:rPr>
          <w:rStyle w:val="Emphasis"/>
          <w:szCs w:val="24"/>
        </w:rPr>
        <w:t>Guidelines</w:t>
      </w:r>
      <w:r w:rsidRPr="007D4DDF">
        <w:rPr>
          <w:rStyle w:val="Emphasis"/>
          <w:i w:val="0"/>
          <w:szCs w:val="24"/>
        </w:rPr>
        <w:t xml:space="preserve">, in the understanding that there are </w:t>
      </w:r>
      <w:r w:rsidR="00055BB3" w:rsidRPr="007D4DDF">
        <w:rPr>
          <w:rStyle w:val="Emphasis"/>
          <w:i w:val="0"/>
          <w:szCs w:val="24"/>
        </w:rPr>
        <w:t>‘</w:t>
      </w:r>
      <w:r w:rsidRPr="007D4DDF">
        <w:rPr>
          <w:rStyle w:val="Emphasis"/>
          <w:i w:val="0"/>
          <w:szCs w:val="24"/>
        </w:rPr>
        <w:t>national specificities</w:t>
      </w:r>
      <w:r w:rsidR="00055BB3" w:rsidRPr="007D4DDF">
        <w:rPr>
          <w:rStyle w:val="Emphasis"/>
          <w:i w:val="0"/>
          <w:szCs w:val="24"/>
        </w:rPr>
        <w:t>’</w:t>
      </w:r>
      <w:r w:rsidRPr="007D4DDF">
        <w:rPr>
          <w:rStyle w:val="Emphasis"/>
          <w:i w:val="0"/>
          <w:szCs w:val="24"/>
        </w:rPr>
        <w:t xml:space="preserve"> </w:t>
      </w:r>
      <w:r w:rsidR="00810A0C" w:rsidRPr="007D4DDF">
        <w:rPr>
          <w:rStyle w:val="Emphasis"/>
          <w:i w:val="0"/>
          <w:szCs w:val="24"/>
        </w:rPr>
        <w:t xml:space="preserve">to </w:t>
      </w:r>
      <w:r w:rsidRPr="007D4DDF">
        <w:rPr>
          <w:rStyle w:val="Emphasis"/>
          <w:i w:val="0"/>
          <w:szCs w:val="24"/>
        </w:rPr>
        <w:t>which financial institutions of each Member State must mould their system</w:t>
      </w:r>
      <w:r w:rsidR="00EA3C6D" w:rsidRPr="007D4DDF">
        <w:rPr>
          <w:rStyle w:val="Emphasis"/>
          <w:i w:val="0"/>
          <w:szCs w:val="24"/>
        </w:rPr>
        <w:t>.</w:t>
      </w:r>
      <w:r w:rsidRPr="007D4DDF">
        <w:rPr>
          <w:rStyle w:val="FootnoteReference"/>
          <w:iCs/>
          <w:szCs w:val="24"/>
        </w:rPr>
        <w:footnoteReference w:id="120"/>
      </w:r>
    </w:p>
    <w:p w14:paraId="582F2FE5" w14:textId="77777777" w:rsidR="001A4592" w:rsidRPr="007D4DDF" w:rsidRDefault="00196196" w:rsidP="00777703">
      <w:pPr>
        <w:spacing w:before="0" w:after="120" w:line="240" w:lineRule="auto"/>
        <w:rPr>
          <w:szCs w:val="24"/>
        </w:rPr>
      </w:pPr>
      <w:r w:rsidRPr="007D4DDF">
        <w:rPr>
          <w:szCs w:val="24"/>
        </w:rPr>
        <w:t xml:space="preserve">The short-term forbearance measures proposed in the </w:t>
      </w:r>
      <w:r w:rsidR="00810A0C" w:rsidRPr="007D4DDF">
        <w:rPr>
          <w:i/>
          <w:szCs w:val="24"/>
        </w:rPr>
        <w:t>Guidance</w:t>
      </w:r>
      <w:r w:rsidRPr="007D4DDF">
        <w:rPr>
          <w:szCs w:val="24"/>
        </w:rPr>
        <w:t xml:space="preserve"> are: </w:t>
      </w:r>
      <w:r w:rsidR="006B4157">
        <w:rPr>
          <w:szCs w:val="24"/>
        </w:rPr>
        <w:t>(</w:t>
      </w:r>
      <w:proofErr w:type="spellStart"/>
      <w:r w:rsidRPr="007D4DDF">
        <w:rPr>
          <w:szCs w:val="24"/>
        </w:rPr>
        <w:t>i</w:t>
      </w:r>
      <w:proofErr w:type="spellEnd"/>
      <w:r w:rsidR="006B4157">
        <w:rPr>
          <w:szCs w:val="24"/>
        </w:rPr>
        <w:t>)</w:t>
      </w:r>
      <w:r w:rsidR="006B4157" w:rsidRPr="007D4DDF">
        <w:rPr>
          <w:szCs w:val="24"/>
        </w:rPr>
        <w:t xml:space="preserve"> </w:t>
      </w:r>
      <w:r w:rsidRPr="007D4DDF">
        <w:rPr>
          <w:szCs w:val="24"/>
        </w:rPr>
        <w:t xml:space="preserve">interest only; </w:t>
      </w:r>
      <w:r w:rsidR="006B4157">
        <w:rPr>
          <w:szCs w:val="24"/>
        </w:rPr>
        <w:t>(</w:t>
      </w:r>
      <w:r w:rsidRPr="007D4DDF">
        <w:rPr>
          <w:szCs w:val="24"/>
        </w:rPr>
        <w:t>ii</w:t>
      </w:r>
      <w:r w:rsidR="006B4157">
        <w:rPr>
          <w:szCs w:val="24"/>
        </w:rPr>
        <w:t>)</w:t>
      </w:r>
      <w:r w:rsidR="006B4157" w:rsidRPr="007D4DDF">
        <w:rPr>
          <w:szCs w:val="24"/>
        </w:rPr>
        <w:t xml:space="preserve"> </w:t>
      </w:r>
      <w:r w:rsidRPr="007D4DDF">
        <w:rPr>
          <w:szCs w:val="24"/>
        </w:rPr>
        <w:t xml:space="preserve">reduced payments; </w:t>
      </w:r>
      <w:r w:rsidR="006B4157">
        <w:rPr>
          <w:szCs w:val="24"/>
        </w:rPr>
        <w:t>(</w:t>
      </w:r>
      <w:r w:rsidRPr="007D4DDF">
        <w:rPr>
          <w:szCs w:val="24"/>
        </w:rPr>
        <w:t>iii</w:t>
      </w:r>
      <w:r w:rsidR="006B4157">
        <w:rPr>
          <w:szCs w:val="24"/>
        </w:rPr>
        <w:t>)</w:t>
      </w:r>
      <w:r w:rsidR="006B4157" w:rsidRPr="007D4DDF">
        <w:rPr>
          <w:szCs w:val="24"/>
        </w:rPr>
        <w:t xml:space="preserve"> </w:t>
      </w:r>
      <w:r w:rsidRPr="007D4DDF">
        <w:rPr>
          <w:szCs w:val="24"/>
        </w:rPr>
        <w:t xml:space="preserve">grace period/payment moratorium; and </w:t>
      </w:r>
      <w:r w:rsidR="006B4157">
        <w:rPr>
          <w:szCs w:val="24"/>
        </w:rPr>
        <w:t>(</w:t>
      </w:r>
      <w:r w:rsidRPr="007D4DDF">
        <w:rPr>
          <w:szCs w:val="24"/>
        </w:rPr>
        <w:t>iv</w:t>
      </w:r>
      <w:r w:rsidR="006B4157">
        <w:rPr>
          <w:szCs w:val="24"/>
        </w:rPr>
        <w:t>)</w:t>
      </w:r>
      <w:r w:rsidR="006B4157" w:rsidRPr="007D4DDF">
        <w:rPr>
          <w:szCs w:val="24"/>
        </w:rPr>
        <w:t xml:space="preserve"> </w:t>
      </w:r>
      <w:r w:rsidRPr="007D4DDF">
        <w:rPr>
          <w:szCs w:val="24"/>
        </w:rPr>
        <w:t xml:space="preserve">arrears/interest </w:t>
      </w:r>
      <w:r w:rsidR="007D4DDF" w:rsidRPr="007D4DDF">
        <w:rPr>
          <w:szCs w:val="24"/>
        </w:rPr>
        <w:t>capitali</w:t>
      </w:r>
      <w:r w:rsidR="007D4DDF">
        <w:rPr>
          <w:szCs w:val="24"/>
        </w:rPr>
        <w:t>z</w:t>
      </w:r>
      <w:r w:rsidR="007D4DDF" w:rsidRPr="007D4DDF">
        <w:rPr>
          <w:szCs w:val="24"/>
        </w:rPr>
        <w:t>ation</w:t>
      </w:r>
      <w:r w:rsidRPr="007D4DDF">
        <w:rPr>
          <w:szCs w:val="24"/>
        </w:rPr>
        <w:t>.</w:t>
      </w:r>
      <w:r w:rsidRPr="007D4DDF">
        <w:rPr>
          <w:rStyle w:val="FootnoteReference"/>
          <w:szCs w:val="24"/>
        </w:rPr>
        <w:t xml:space="preserve"> </w:t>
      </w:r>
      <w:r w:rsidRPr="007D4DDF">
        <w:rPr>
          <w:rStyle w:val="FootnoteReference"/>
          <w:szCs w:val="24"/>
        </w:rPr>
        <w:footnoteReference w:id="121"/>
      </w:r>
      <w:r w:rsidRPr="007D4DDF">
        <w:rPr>
          <w:szCs w:val="24"/>
        </w:rPr>
        <w:t xml:space="preserve"> The long-term measures are: </w:t>
      </w:r>
      <w:r w:rsidR="006B4157">
        <w:rPr>
          <w:szCs w:val="24"/>
        </w:rPr>
        <w:t>(</w:t>
      </w:r>
      <w:r w:rsidRPr="007D4DDF">
        <w:rPr>
          <w:szCs w:val="24"/>
        </w:rPr>
        <w:t>v</w:t>
      </w:r>
      <w:r w:rsidR="006B4157">
        <w:rPr>
          <w:szCs w:val="24"/>
        </w:rPr>
        <w:t>)</w:t>
      </w:r>
      <w:r w:rsidR="006B4157" w:rsidRPr="007D4DDF">
        <w:rPr>
          <w:szCs w:val="24"/>
        </w:rPr>
        <w:t xml:space="preserve"> </w:t>
      </w:r>
      <w:r w:rsidRPr="007D4DDF">
        <w:rPr>
          <w:szCs w:val="24"/>
        </w:rPr>
        <w:t xml:space="preserve">interest rate reduction; </w:t>
      </w:r>
      <w:r w:rsidR="006B4157">
        <w:rPr>
          <w:szCs w:val="24"/>
        </w:rPr>
        <w:t>(</w:t>
      </w:r>
      <w:r w:rsidRPr="007D4DDF">
        <w:rPr>
          <w:szCs w:val="24"/>
        </w:rPr>
        <w:t>vi</w:t>
      </w:r>
      <w:r w:rsidR="006B4157">
        <w:rPr>
          <w:szCs w:val="24"/>
        </w:rPr>
        <w:t>)</w:t>
      </w:r>
      <w:r w:rsidR="006B4157" w:rsidRPr="007D4DDF">
        <w:rPr>
          <w:szCs w:val="24"/>
        </w:rPr>
        <w:t xml:space="preserve"> </w:t>
      </w:r>
      <w:r w:rsidRPr="007D4DDF">
        <w:rPr>
          <w:szCs w:val="24"/>
        </w:rPr>
        <w:t xml:space="preserve">extension of maturity or term; </w:t>
      </w:r>
      <w:r w:rsidR="006B4157">
        <w:rPr>
          <w:szCs w:val="24"/>
        </w:rPr>
        <w:t>(</w:t>
      </w:r>
      <w:r w:rsidRPr="007D4DDF">
        <w:rPr>
          <w:szCs w:val="24"/>
        </w:rPr>
        <w:t>vii</w:t>
      </w:r>
      <w:r w:rsidR="006B4157">
        <w:rPr>
          <w:szCs w:val="24"/>
        </w:rPr>
        <w:t>)</w:t>
      </w:r>
      <w:r w:rsidR="006B4157" w:rsidRPr="007D4DDF">
        <w:rPr>
          <w:szCs w:val="24"/>
        </w:rPr>
        <w:t xml:space="preserve"> </w:t>
      </w:r>
      <w:r w:rsidRPr="007D4DDF">
        <w:rPr>
          <w:szCs w:val="24"/>
        </w:rPr>
        <w:t xml:space="preserve">additional security; </w:t>
      </w:r>
      <w:r w:rsidR="006B4157">
        <w:rPr>
          <w:szCs w:val="24"/>
        </w:rPr>
        <w:t>(</w:t>
      </w:r>
      <w:r w:rsidRPr="007D4DDF">
        <w:rPr>
          <w:szCs w:val="24"/>
        </w:rPr>
        <w:t>viii</w:t>
      </w:r>
      <w:r w:rsidR="006B4157">
        <w:rPr>
          <w:szCs w:val="24"/>
        </w:rPr>
        <w:t>)</w:t>
      </w:r>
      <w:r w:rsidR="006B4157" w:rsidRPr="007D4DDF">
        <w:rPr>
          <w:szCs w:val="24"/>
        </w:rPr>
        <w:t xml:space="preserve"> </w:t>
      </w:r>
      <w:r w:rsidR="005B5A8D" w:rsidRPr="007D4DDF">
        <w:rPr>
          <w:szCs w:val="24"/>
        </w:rPr>
        <w:t xml:space="preserve">sale </w:t>
      </w:r>
      <w:r w:rsidRPr="007D4DDF">
        <w:rPr>
          <w:szCs w:val="24"/>
        </w:rPr>
        <w:t xml:space="preserve">by agreement or assisted sale; </w:t>
      </w:r>
      <w:r w:rsidR="006B4157">
        <w:rPr>
          <w:szCs w:val="24"/>
        </w:rPr>
        <w:t>(</w:t>
      </w:r>
      <w:r w:rsidRPr="007D4DDF">
        <w:rPr>
          <w:szCs w:val="24"/>
        </w:rPr>
        <w:t>ix</w:t>
      </w:r>
      <w:r w:rsidR="006B4157">
        <w:rPr>
          <w:szCs w:val="24"/>
        </w:rPr>
        <w:t>)</w:t>
      </w:r>
      <w:r w:rsidR="006B4157" w:rsidRPr="007D4DDF">
        <w:rPr>
          <w:szCs w:val="24"/>
        </w:rPr>
        <w:t xml:space="preserve"> </w:t>
      </w:r>
      <w:r w:rsidRPr="007D4DDF">
        <w:rPr>
          <w:szCs w:val="24"/>
        </w:rPr>
        <w:t xml:space="preserve">rescheduled payments; </w:t>
      </w:r>
      <w:r w:rsidR="006B4157">
        <w:rPr>
          <w:szCs w:val="24"/>
        </w:rPr>
        <w:t>(</w:t>
      </w:r>
      <w:r w:rsidRPr="007D4DDF">
        <w:rPr>
          <w:szCs w:val="24"/>
        </w:rPr>
        <w:t>x</w:t>
      </w:r>
      <w:r w:rsidR="006B4157">
        <w:rPr>
          <w:szCs w:val="24"/>
        </w:rPr>
        <w:t>)</w:t>
      </w:r>
      <w:r w:rsidR="006B4157" w:rsidRPr="007D4DDF">
        <w:rPr>
          <w:szCs w:val="24"/>
        </w:rPr>
        <w:t xml:space="preserve"> </w:t>
      </w:r>
      <w:r w:rsidRPr="007D4DDF">
        <w:rPr>
          <w:szCs w:val="24"/>
        </w:rPr>
        <w:t xml:space="preserve">conversion of currency; </w:t>
      </w:r>
      <w:r w:rsidR="006B4157">
        <w:rPr>
          <w:szCs w:val="24"/>
        </w:rPr>
        <w:t>(</w:t>
      </w:r>
      <w:r w:rsidRPr="007D4DDF">
        <w:rPr>
          <w:szCs w:val="24"/>
        </w:rPr>
        <w:t>xi</w:t>
      </w:r>
      <w:r w:rsidR="006B4157">
        <w:rPr>
          <w:szCs w:val="24"/>
        </w:rPr>
        <w:t>)</w:t>
      </w:r>
      <w:r w:rsidR="006B4157" w:rsidRPr="007D4DDF">
        <w:rPr>
          <w:szCs w:val="24"/>
        </w:rPr>
        <w:t xml:space="preserve"> </w:t>
      </w:r>
      <w:r w:rsidRPr="007D4DDF">
        <w:rPr>
          <w:szCs w:val="24"/>
        </w:rPr>
        <w:t xml:space="preserve">other alteration of contract conditions or covenants; </w:t>
      </w:r>
      <w:r w:rsidR="006B4157">
        <w:rPr>
          <w:szCs w:val="24"/>
        </w:rPr>
        <w:t>(</w:t>
      </w:r>
      <w:r w:rsidRPr="007D4DDF">
        <w:rPr>
          <w:szCs w:val="24"/>
        </w:rPr>
        <w:t>xii</w:t>
      </w:r>
      <w:r w:rsidR="006B4157">
        <w:rPr>
          <w:szCs w:val="24"/>
        </w:rPr>
        <w:t>)</w:t>
      </w:r>
      <w:r w:rsidR="006B4157" w:rsidRPr="007D4DDF">
        <w:rPr>
          <w:szCs w:val="24"/>
        </w:rPr>
        <w:t xml:space="preserve"> </w:t>
      </w:r>
      <w:r w:rsidRPr="007D4DDF">
        <w:rPr>
          <w:szCs w:val="24"/>
        </w:rPr>
        <w:t xml:space="preserve">new credit facilities; </w:t>
      </w:r>
      <w:r w:rsidR="006B4157">
        <w:rPr>
          <w:szCs w:val="24"/>
        </w:rPr>
        <w:t>(</w:t>
      </w:r>
      <w:r w:rsidRPr="007D4DDF">
        <w:rPr>
          <w:szCs w:val="24"/>
        </w:rPr>
        <w:t>xiii</w:t>
      </w:r>
      <w:r w:rsidR="006B4157">
        <w:rPr>
          <w:szCs w:val="24"/>
        </w:rPr>
        <w:t>)</w:t>
      </w:r>
      <w:r w:rsidR="006B4157" w:rsidRPr="007D4DDF">
        <w:rPr>
          <w:szCs w:val="24"/>
        </w:rPr>
        <w:t xml:space="preserve"> </w:t>
      </w:r>
      <w:r w:rsidRPr="007D4DDF">
        <w:rPr>
          <w:szCs w:val="24"/>
        </w:rPr>
        <w:t>debt consolidation; and xiv. partial or total debt forgiveness.</w:t>
      </w:r>
      <w:r w:rsidRPr="007D4DDF">
        <w:rPr>
          <w:rStyle w:val="FootnoteReference"/>
          <w:szCs w:val="24"/>
        </w:rPr>
        <w:footnoteReference w:id="122"/>
      </w:r>
      <w:r w:rsidRPr="007D4DDF">
        <w:rPr>
          <w:szCs w:val="24"/>
        </w:rPr>
        <w:t xml:space="preserve"> The most severe long-term forbearance measure listed in the </w:t>
      </w:r>
      <w:r w:rsidR="00810A0C" w:rsidRPr="007D4DDF">
        <w:rPr>
          <w:i/>
          <w:szCs w:val="24"/>
        </w:rPr>
        <w:t>Guidance</w:t>
      </w:r>
      <w:r w:rsidRPr="007D4DDF">
        <w:rPr>
          <w:szCs w:val="24"/>
        </w:rPr>
        <w:t xml:space="preserve"> is partial or total debt forgiveness. This </w:t>
      </w:r>
      <w:r w:rsidR="009F441A" w:rsidRPr="007D4DDF">
        <w:rPr>
          <w:szCs w:val="24"/>
        </w:rPr>
        <w:t xml:space="preserve">latter measure </w:t>
      </w:r>
      <w:r w:rsidRPr="007D4DDF">
        <w:rPr>
          <w:szCs w:val="24"/>
        </w:rPr>
        <w:t>entails a settlement between the parties, where</w:t>
      </w:r>
      <w:r w:rsidR="005B5A8D" w:rsidRPr="007D4DDF">
        <w:rPr>
          <w:szCs w:val="24"/>
        </w:rPr>
        <w:t>by</w:t>
      </w:r>
      <w:r w:rsidRPr="007D4DDF">
        <w:rPr>
          <w:szCs w:val="24"/>
        </w:rPr>
        <w:t xml:space="preserve"> the debtor agrees to pay a certain amount of the debt within a given </w:t>
      </w:r>
      <w:proofErr w:type="gramStart"/>
      <w:r w:rsidRPr="007D4DDF">
        <w:rPr>
          <w:szCs w:val="24"/>
        </w:rPr>
        <w:t>time-frame</w:t>
      </w:r>
      <w:proofErr w:type="gramEnd"/>
      <w:r w:rsidRPr="007D4DDF">
        <w:rPr>
          <w:szCs w:val="24"/>
        </w:rPr>
        <w:t xml:space="preserve"> </w:t>
      </w:r>
      <w:r w:rsidR="005B5A8D" w:rsidRPr="007D4DDF">
        <w:rPr>
          <w:szCs w:val="24"/>
        </w:rPr>
        <w:t xml:space="preserve">in return </w:t>
      </w:r>
      <w:r w:rsidRPr="007D4DDF">
        <w:rPr>
          <w:szCs w:val="24"/>
        </w:rPr>
        <w:t>for which the creditor waives any legal claim over the remaining amount.</w:t>
      </w:r>
    </w:p>
    <w:p w14:paraId="254D3890" w14:textId="77777777" w:rsidR="001A4592" w:rsidRPr="007D4DDF" w:rsidRDefault="00196196" w:rsidP="00777703">
      <w:pPr>
        <w:spacing w:before="0" w:after="120" w:line="240" w:lineRule="auto"/>
        <w:rPr>
          <w:szCs w:val="24"/>
        </w:rPr>
      </w:pPr>
      <w:r w:rsidRPr="007D4DDF">
        <w:rPr>
          <w:szCs w:val="24"/>
        </w:rPr>
        <w:t>There is also much developing harmonising jurisprudence across Europe which indirectly impacts on property law through other elements of EU and EC</w:t>
      </w:r>
      <w:r w:rsidR="00963A0D" w:rsidRPr="007D4DDF">
        <w:rPr>
          <w:szCs w:val="24"/>
        </w:rPr>
        <w:t>t</w:t>
      </w:r>
      <w:r w:rsidRPr="007D4DDF">
        <w:rPr>
          <w:szCs w:val="24"/>
        </w:rPr>
        <w:t xml:space="preserve">HR </w:t>
      </w:r>
      <w:r w:rsidR="009F441A" w:rsidRPr="007D4DDF">
        <w:rPr>
          <w:szCs w:val="24"/>
        </w:rPr>
        <w:t xml:space="preserve">jurisprudence. </w:t>
      </w:r>
      <w:r w:rsidRPr="007D4DDF">
        <w:rPr>
          <w:color w:val="000000"/>
          <w:szCs w:val="24"/>
        </w:rPr>
        <w:t>Today, there is a developing jurisprudence linking national, EU and international human rights law on evictions, which also encompasses EU consumer protection law.</w:t>
      </w:r>
      <w:r w:rsidRPr="007D4DDF">
        <w:rPr>
          <w:rStyle w:val="FootnoteReference"/>
          <w:szCs w:val="24"/>
        </w:rPr>
        <w:footnoteReference w:id="123"/>
      </w:r>
      <w:proofErr w:type="gramStart"/>
      <w:r w:rsidRPr="007D4DDF">
        <w:rPr>
          <w:color w:val="000000"/>
          <w:szCs w:val="24"/>
        </w:rPr>
        <w:t>This impacts</w:t>
      </w:r>
      <w:proofErr w:type="gramEnd"/>
      <w:r w:rsidRPr="007D4DDF">
        <w:rPr>
          <w:color w:val="000000"/>
          <w:szCs w:val="24"/>
        </w:rPr>
        <w:t xml:space="preserve"> in different ways, creating unique sets of circumstances for evictions in each EU Member State. Through a combination of EU consumer law and the EU Charter</w:t>
      </w:r>
      <w:r w:rsidR="00BF447E" w:rsidRPr="007D4DDF">
        <w:rPr>
          <w:rStyle w:val="FootnoteReference"/>
          <w:color w:val="000000"/>
          <w:szCs w:val="24"/>
        </w:rPr>
        <w:footnoteReference w:id="124"/>
      </w:r>
      <w:r w:rsidRPr="007D4DDF">
        <w:rPr>
          <w:color w:val="000000"/>
          <w:szCs w:val="24"/>
        </w:rPr>
        <w:t xml:space="preserve"> of Fundamental Rights (CFREU)</w:t>
      </w:r>
      <w:r w:rsidR="005B5A8D" w:rsidRPr="007D4DDF">
        <w:rPr>
          <w:color w:val="000000"/>
          <w:szCs w:val="24"/>
        </w:rPr>
        <w:t>,</w:t>
      </w:r>
      <w:r w:rsidRPr="007D4DDF">
        <w:rPr>
          <w:rStyle w:val="FootnoteReference"/>
          <w:szCs w:val="24"/>
        </w:rPr>
        <w:footnoteReference w:id="125"/>
      </w:r>
      <w:r w:rsidRPr="007D4DDF">
        <w:rPr>
          <w:color w:val="000000"/>
          <w:szCs w:val="24"/>
        </w:rPr>
        <w:t xml:space="preserve"> </w:t>
      </w:r>
      <w:r w:rsidRPr="007D4DDF">
        <w:rPr>
          <w:szCs w:val="24"/>
        </w:rPr>
        <w:t>a developing CJEU jurisprudence is developing whereby mortgage</w:t>
      </w:r>
      <w:r w:rsidR="00112951" w:rsidRPr="007D4DDF">
        <w:rPr>
          <w:szCs w:val="24"/>
        </w:rPr>
        <w:t>-</w:t>
      </w:r>
      <w:r w:rsidRPr="007D4DDF">
        <w:rPr>
          <w:szCs w:val="24"/>
        </w:rPr>
        <w:t>related evictions are engaging consumer and human rights protections</w:t>
      </w:r>
      <w:r w:rsidR="009F441A" w:rsidRPr="007D4DDF">
        <w:rPr>
          <w:szCs w:val="24"/>
        </w:rPr>
        <w:t xml:space="preserve"> for those at risk of eviction</w:t>
      </w:r>
      <w:r w:rsidRPr="007D4DDF">
        <w:rPr>
          <w:szCs w:val="24"/>
        </w:rPr>
        <w:t>.</w:t>
      </w:r>
      <w:r w:rsidRPr="007D4DDF">
        <w:rPr>
          <w:rStyle w:val="FootnoteReference"/>
          <w:color w:val="000000"/>
          <w:szCs w:val="24"/>
        </w:rPr>
        <w:footnoteReference w:id="126"/>
      </w:r>
    </w:p>
    <w:p w14:paraId="1E7FB405" w14:textId="77777777" w:rsidR="00196196" w:rsidRPr="007D4DDF" w:rsidRDefault="00196196" w:rsidP="00777703">
      <w:pPr>
        <w:spacing w:before="0" w:after="120" w:line="240" w:lineRule="auto"/>
        <w:rPr>
          <w:bCs/>
          <w:szCs w:val="24"/>
        </w:rPr>
      </w:pPr>
      <w:r w:rsidRPr="007D4DDF">
        <w:rPr>
          <w:szCs w:val="24"/>
        </w:rPr>
        <w:t>Article 51</w:t>
      </w:r>
      <w:r w:rsidR="003510AA" w:rsidRPr="007D4DDF">
        <w:rPr>
          <w:szCs w:val="24"/>
        </w:rPr>
        <w:t xml:space="preserve"> </w:t>
      </w:r>
      <w:r w:rsidRPr="007D4DDF">
        <w:rPr>
          <w:szCs w:val="24"/>
        </w:rPr>
        <w:t xml:space="preserve">(1) CFREU provides that the Charter is binding on </w:t>
      </w:r>
      <w:r w:rsidRPr="007D4DDF">
        <w:rPr>
          <w:color w:val="000000"/>
          <w:szCs w:val="24"/>
        </w:rPr>
        <w:t>the institutions, bodies, agencies and offices of the EU, and these include the European Central Bank and the European Banking Authority.</w:t>
      </w:r>
      <w:r w:rsidRPr="007D4DDF">
        <w:rPr>
          <w:rStyle w:val="FootnoteReference"/>
          <w:szCs w:val="24"/>
        </w:rPr>
        <w:footnoteReference w:id="127"/>
      </w:r>
      <w:r w:rsidR="00591FED" w:rsidRPr="007D4DDF">
        <w:rPr>
          <w:color w:val="000000"/>
          <w:szCs w:val="24"/>
        </w:rPr>
        <w:t xml:space="preserve"> </w:t>
      </w:r>
      <w:r w:rsidRPr="007D4DDF">
        <w:rPr>
          <w:color w:val="222222"/>
          <w:szCs w:val="24"/>
        </w:rPr>
        <w:t xml:space="preserve">Article 7 </w:t>
      </w:r>
      <w:r w:rsidR="00A30391" w:rsidRPr="007D4DDF">
        <w:rPr>
          <w:color w:val="222222"/>
          <w:szCs w:val="24"/>
        </w:rPr>
        <w:t>CFREU</w:t>
      </w:r>
      <w:r w:rsidR="00A30391" w:rsidRPr="007D4DDF">
        <w:rPr>
          <w:szCs w:val="24"/>
        </w:rPr>
        <w:t xml:space="preserve"> states</w:t>
      </w:r>
      <w:r w:rsidRPr="007D4DDF">
        <w:rPr>
          <w:szCs w:val="24"/>
        </w:rPr>
        <w:t xml:space="preserve"> that</w:t>
      </w:r>
      <w:r w:rsidR="00963A0D" w:rsidRPr="007D4DDF">
        <w:rPr>
          <w:szCs w:val="24"/>
        </w:rPr>
        <w:t>:</w:t>
      </w:r>
      <w:r w:rsidRPr="007D4DDF">
        <w:rPr>
          <w:szCs w:val="24"/>
        </w:rPr>
        <w:t xml:space="preserve"> </w:t>
      </w:r>
      <w:r w:rsidR="004256BD" w:rsidRPr="007D4DDF">
        <w:rPr>
          <w:szCs w:val="24"/>
        </w:rPr>
        <w:t>‘</w:t>
      </w:r>
      <w:r w:rsidRPr="007D4DDF">
        <w:rPr>
          <w:szCs w:val="24"/>
        </w:rPr>
        <w:t>Everyone has the right to respect for his or her private and family life, home and communications.</w:t>
      </w:r>
      <w:r w:rsidR="004256BD" w:rsidRPr="007D4DDF">
        <w:rPr>
          <w:szCs w:val="24"/>
        </w:rPr>
        <w:t>’</w:t>
      </w:r>
      <w:r w:rsidRPr="007D4DDF">
        <w:rPr>
          <w:szCs w:val="24"/>
        </w:rPr>
        <w:t xml:space="preserve"> According to the </w:t>
      </w:r>
      <w:r w:rsidRPr="007D4DDF">
        <w:rPr>
          <w:i/>
          <w:szCs w:val="24"/>
        </w:rPr>
        <w:t xml:space="preserve">Explanations </w:t>
      </w:r>
      <w:r w:rsidRPr="007D4DDF">
        <w:rPr>
          <w:szCs w:val="24"/>
        </w:rPr>
        <w:t>on the CFREU,</w:t>
      </w:r>
      <w:r w:rsidRPr="007D4DDF">
        <w:rPr>
          <w:rStyle w:val="FootnoteReference"/>
          <w:szCs w:val="24"/>
        </w:rPr>
        <w:footnoteReference w:id="128"/>
      </w:r>
      <w:r w:rsidRPr="007D4DDF">
        <w:rPr>
          <w:szCs w:val="24"/>
        </w:rPr>
        <w:t xml:space="preserve"> this corresponds with Article 8 of the ECHR. </w:t>
      </w:r>
      <w:r w:rsidRPr="007D4DDF">
        <w:rPr>
          <w:szCs w:val="24"/>
        </w:rPr>
        <w:lastRenderedPageBreak/>
        <w:t>Indeed, the Court of Justice of the European Union (CJEU) has drawn on the jurisprudence of the E</w:t>
      </w:r>
      <w:r w:rsidR="000D3F1C" w:rsidRPr="007D4DDF">
        <w:rPr>
          <w:szCs w:val="24"/>
        </w:rPr>
        <w:t>uropean Court of Human Rights (E</w:t>
      </w:r>
      <w:r w:rsidRPr="007D4DDF">
        <w:rPr>
          <w:szCs w:val="24"/>
        </w:rPr>
        <w:t>CtHR</w:t>
      </w:r>
      <w:r w:rsidR="000D3F1C" w:rsidRPr="007D4DDF">
        <w:rPr>
          <w:szCs w:val="24"/>
        </w:rPr>
        <w:t>)</w:t>
      </w:r>
      <w:r w:rsidR="00963A0D" w:rsidRPr="007D4DDF">
        <w:rPr>
          <w:szCs w:val="24"/>
        </w:rPr>
        <w:t>,</w:t>
      </w:r>
      <w:r w:rsidR="00A30391" w:rsidRPr="007D4DDF">
        <w:rPr>
          <w:szCs w:val="24"/>
        </w:rPr>
        <w:t xml:space="preserve"> </w:t>
      </w:r>
      <w:r w:rsidRPr="007D4DDF">
        <w:rPr>
          <w:szCs w:val="24"/>
        </w:rPr>
        <w:t xml:space="preserve">in mortgage consumer law cases. In Case C 34/13, </w:t>
      </w:r>
      <w:r w:rsidRPr="007D4DDF">
        <w:rPr>
          <w:bCs/>
          <w:i/>
          <w:szCs w:val="24"/>
        </w:rPr>
        <w:t xml:space="preserve">Monika </w:t>
      </w:r>
      <w:proofErr w:type="spellStart"/>
      <w:r w:rsidRPr="007D4DDF">
        <w:rPr>
          <w:bCs/>
          <w:i/>
          <w:szCs w:val="24"/>
        </w:rPr>
        <w:t>Kušionová</w:t>
      </w:r>
      <w:proofErr w:type="spellEnd"/>
      <w:r w:rsidRPr="007D4DDF">
        <w:rPr>
          <w:bCs/>
          <w:i/>
          <w:szCs w:val="24"/>
        </w:rPr>
        <w:t xml:space="preserve"> </w:t>
      </w:r>
      <w:r w:rsidRPr="007D4DDF">
        <w:rPr>
          <w:i/>
          <w:szCs w:val="24"/>
        </w:rPr>
        <w:t xml:space="preserve">v </w:t>
      </w:r>
      <w:r w:rsidRPr="007D4DDF">
        <w:rPr>
          <w:bCs/>
          <w:i/>
          <w:szCs w:val="24"/>
        </w:rPr>
        <w:t xml:space="preserve">SMART Capital </w:t>
      </w:r>
      <w:proofErr w:type="spellStart"/>
      <w:r w:rsidRPr="007D4DDF">
        <w:rPr>
          <w:bCs/>
          <w:i/>
          <w:szCs w:val="24"/>
        </w:rPr>
        <w:t>a.s.</w:t>
      </w:r>
      <w:proofErr w:type="spellEnd"/>
      <w:r w:rsidRPr="007D4DDF">
        <w:rPr>
          <w:bCs/>
          <w:szCs w:val="24"/>
        </w:rPr>
        <w:t>,</w:t>
      </w:r>
      <w:r w:rsidRPr="007D4DDF">
        <w:rPr>
          <w:bCs/>
          <w:i/>
          <w:szCs w:val="24"/>
        </w:rPr>
        <w:t xml:space="preserve"> </w:t>
      </w:r>
      <w:r w:rsidRPr="007D4DDF">
        <w:rPr>
          <w:bCs/>
          <w:szCs w:val="24"/>
        </w:rPr>
        <w:t>the CJEU held</w:t>
      </w:r>
      <w:r w:rsidR="00963A0D" w:rsidRPr="007D4DDF">
        <w:rPr>
          <w:bCs/>
          <w:szCs w:val="24"/>
        </w:rPr>
        <w:t>:</w:t>
      </w:r>
    </w:p>
    <w:p w14:paraId="2429F724" w14:textId="7327D281" w:rsidR="00196196" w:rsidRPr="007D4DDF" w:rsidRDefault="00196196" w:rsidP="00777703">
      <w:pPr>
        <w:pStyle w:val="c01pointnumerotealtn"/>
        <w:spacing w:before="0" w:beforeAutospacing="0" w:after="120" w:afterAutospacing="0" w:line="240" w:lineRule="auto"/>
        <w:ind w:left="720"/>
        <w:rPr>
          <w:rFonts w:ascii="Times New Roman" w:hAnsi="Times New Roman" w:cs="Times New Roman"/>
          <w:sz w:val="24"/>
          <w:szCs w:val="24"/>
          <w:lang w:val="en-GB"/>
        </w:rPr>
      </w:pPr>
      <w:r w:rsidRPr="007D4DDF">
        <w:rPr>
          <w:rFonts w:ascii="Times New Roman" w:hAnsi="Times New Roman" w:cs="Times New Roman"/>
          <w:sz w:val="22"/>
          <w:szCs w:val="22"/>
          <w:lang w:val="en-GB"/>
        </w:rPr>
        <w:t xml:space="preserve">The loss of a family home is not only such as to seriously undermine consumer rights (the judgment in </w:t>
      </w:r>
      <w:r w:rsidRPr="007D4DDF">
        <w:rPr>
          <w:rFonts w:ascii="Times New Roman" w:hAnsi="Times New Roman" w:cs="Times New Roman"/>
          <w:i/>
          <w:iCs/>
          <w:sz w:val="22"/>
          <w:szCs w:val="22"/>
          <w:lang w:val="en-GB"/>
        </w:rPr>
        <w:t>Aziz</w:t>
      </w:r>
      <w:r w:rsidRPr="007D4DDF">
        <w:rPr>
          <w:rFonts w:ascii="Times New Roman" w:hAnsi="Times New Roman" w:cs="Times New Roman"/>
          <w:sz w:val="22"/>
          <w:szCs w:val="22"/>
          <w:lang w:val="en-GB"/>
        </w:rPr>
        <w:t xml:space="preserve">, EU:C:2013:164, paragraph 61), but it also places the family of the consumer concerned in a particularly vulnerable position (see, to that effect, the Order of the President of the Court in </w:t>
      </w:r>
      <w:r w:rsidRPr="007D4DDF">
        <w:rPr>
          <w:rFonts w:ascii="Times New Roman" w:hAnsi="Times New Roman" w:cs="Times New Roman"/>
          <w:i/>
          <w:iCs/>
          <w:sz w:val="22"/>
          <w:szCs w:val="22"/>
          <w:lang w:val="en-GB"/>
        </w:rPr>
        <w:t xml:space="preserve">Sánchez </w:t>
      </w:r>
      <w:proofErr w:type="spellStart"/>
      <w:r w:rsidRPr="007D4DDF">
        <w:rPr>
          <w:rFonts w:ascii="Times New Roman" w:hAnsi="Times New Roman" w:cs="Times New Roman"/>
          <w:i/>
          <w:iCs/>
          <w:sz w:val="22"/>
          <w:szCs w:val="22"/>
          <w:lang w:val="en-GB"/>
        </w:rPr>
        <w:t>Morcillo</w:t>
      </w:r>
      <w:proofErr w:type="spellEnd"/>
      <w:r w:rsidRPr="007D4DDF">
        <w:rPr>
          <w:rFonts w:ascii="Times New Roman" w:hAnsi="Times New Roman" w:cs="Times New Roman"/>
          <w:i/>
          <w:iCs/>
          <w:sz w:val="22"/>
          <w:szCs w:val="22"/>
          <w:lang w:val="en-GB"/>
        </w:rPr>
        <w:t xml:space="preserve"> and Abril García</w:t>
      </w:r>
      <w:r w:rsidRPr="007D4DDF">
        <w:rPr>
          <w:rFonts w:ascii="Times New Roman" w:hAnsi="Times New Roman" w:cs="Times New Roman"/>
          <w:sz w:val="22"/>
          <w:szCs w:val="22"/>
          <w:lang w:val="en-GB"/>
        </w:rPr>
        <w:t xml:space="preserve">, EU:C:2014:1388, paragraph 11). In that regard, the European Court of Human Rights has held, first, that the loss of a home is one of the most serious breaches of the right to respect for the home and, secondly, that any person who risks being the victim of such a breach should be able to have the proportionality of such a measure reviewed (see the judgments of the European Court of Human Rights in </w:t>
      </w:r>
      <w:r w:rsidRPr="007D4DDF">
        <w:rPr>
          <w:rFonts w:ascii="Times New Roman" w:hAnsi="Times New Roman" w:cs="Times New Roman"/>
          <w:i/>
          <w:iCs/>
          <w:sz w:val="22"/>
          <w:szCs w:val="22"/>
          <w:lang w:val="en-GB"/>
        </w:rPr>
        <w:t>McCann</w:t>
      </w:r>
      <w:r w:rsidRPr="007D4DDF">
        <w:rPr>
          <w:rFonts w:ascii="Times New Roman" w:hAnsi="Times New Roman" w:cs="Times New Roman"/>
          <w:sz w:val="22"/>
          <w:szCs w:val="22"/>
          <w:lang w:val="en-GB"/>
        </w:rPr>
        <w:t xml:space="preserve"> v </w:t>
      </w:r>
      <w:r w:rsidRPr="007D4DDF">
        <w:rPr>
          <w:rFonts w:ascii="Times New Roman" w:hAnsi="Times New Roman" w:cs="Times New Roman"/>
          <w:i/>
          <w:iCs/>
          <w:sz w:val="22"/>
          <w:szCs w:val="22"/>
          <w:lang w:val="en-GB"/>
        </w:rPr>
        <w:t>United Kingdom</w:t>
      </w:r>
      <w:r w:rsidRPr="007D4DDF">
        <w:rPr>
          <w:rFonts w:ascii="Times New Roman" w:hAnsi="Times New Roman" w:cs="Times New Roman"/>
          <w:sz w:val="22"/>
          <w:szCs w:val="22"/>
          <w:lang w:val="en-GB"/>
        </w:rPr>
        <w:t xml:space="preserve">, application No 19009/04, paragraph 50, ECHR 2008, and </w:t>
      </w:r>
      <w:proofErr w:type="spellStart"/>
      <w:r w:rsidRPr="007D4DDF">
        <w:rPr>
          <w:rFonts w:ascii="Times New Roman" w:hAnsi="Times New Roman" w:cs="Times New Roman"/>
          <w:i/>
          <w:iCs/>
          <w:sz w:val="22"/>
          <w:szCs w:val="22"/>
          <w:lang w:val="en-GB"/>
        </w:rPr>
        <w:t>Rousk</w:t>
      </w:r>
      <w:proofErr w:type="spellEnd"/>
      <w:r w:rsidRPr="007D4DDF">
        <w:rPr>
          <w:rFonts w:ascii="Times New Roman" w:hAnsi="Times New Roman" w:cs="Times New Roman"/>
          <w:sz w:val="22"/>
          <w:szCs w:val="22"/>
          <w:lang w:val="en-GB"/>
        </w:rPr>
        <w:t xml:space="preserve"> v </w:t>
      </w:r>
      <w:r w:rsidRPr="007D4DDF">
        <w:rPr>
          <w:rFonts w:ascii="Times New Roman" w:hAnsi="Times New Roman" w:cs="Times New Roman"/>
          <w:i/>
          <w:iCs/>
          <w:sz w:val="22"/>
          <w:szCs w:val="22"/>
          <w:lang w:val="en-GB"/>
        </w:rPr>
        <w:t>Sweden</w:t>
      </w:r>
      <w:r w:rsidRPr="007D4DDF">
        <w:rPr>
          <w:rFonts w:ascii="Times New Roman" w:hAnsi="Times New Roman" w:cs="Times New Roman"/>
          <w:sz w:val="22"/>
          <w:szCs w:val="22"/>
          <w:lang w:val="en-GB"/>
        </w:rPr>
        <w:t>, application No 27183/04, paragraph 137).</w:t>
      </w:r>
      <w:r w:rsidR="00A30391" w:rsidRPr="007D4DDF">
        <w:rPr>
          <w:rFonts w:ascii="Times New Roman" w:hAnsi="Times New Roman" w:cs="Times New Roman"/>
          <w:sz w:val="22"/>
          <w:szCs w:val="22"/>
          <w:lang w:val="en-GB"/>
        </w:rPr>
        <w:t xml:space="preserve"> </w:t>
      </w:r>
      <w:r w:rsidRPr="007D4DDF">
        <w:rPr>
          <w:rFonts w:ascii="Times New Roman" w:hAnsi="Times New Roman" w:cs="Times New Roman"/>
          <w:sz w:val="22"/>
          <w:szCs w:val="22"/>
          <w:lang w:val="en-GB"/>
        </w:rPr>
        <w:t>Under EU law, the right to accommodation is a fundamental right guaranteed under Article 7 of the Charter that the referring court must take into consideration when implementing Directive 93/13 [Unfair Terms in Consumer Contracts Directive].</w:t>
      </w:r>
      <w:r w:rsidRPr="007D4DDF">
        <w:rPr>
          <w:rStyle w:val="FootnoteReference"/>
          <w:rFonts w:ascii="Times New Roman" w:hAnsi="Times New Roman" w:cs="Times New Roman"/>
          <w:sz w:val="24"/>
          <w:szCs w:val="24"/>
          <w:lang w:val="en-GB"/>
        </w:rPr>
        <w:footnoteReference w:id="129"/>
      </w:r>
    </w:p>
    <w:p w14:paraId="78FAD2F4" w14:textId="77777777" w:rsidR="001A4592" w:rsidRPr="007D4DDF" w:rsidRDefault="00196196" w:rsidP="00777703">
      <w:pPr>
        <w:spacing w:before="0" w:after="120" w:line="240" w:lineRule="auto"/>
        <w:rPr>
          <w:color w:val="000000"/>
          <w:szCs w:val="24"/>
        </w:rPr>
      </w:pPr>
      <w:r w:rsidRPr="007D4DDF">
        <w:rPr>
          <w:color w:val="000000"/>
          <w:szCs w:val="24"/>
        </w:rPr>
        <w:t xml:space="preserve">The </w:t>
      </w:r>
      <w:r w:rsidR="009F441A" w:rsidRPr="007D4DDF">
        <w:rPr>
          <w:color w:val="000000"/>
          <w:szCs w:val="24"/>
        </w:rPr>
        <w:t>emerging trend is a closer link between mortgage law, consumer law and human rights</w:t>
      </w:r>
      <w:r w:rsidR="00591FED" w:rsidRPr="007D4DDF">
        <w:rPr>
          <w:color w:val="000000"/>
          <w:szCs w:val="24"/>
        </w:rPr>
        <w:t xml:space="preserve"> law</w:t>
      </w:r>
      <w:r w:rsidR="009F441A" w:rsidRPr="007D4DDF">
        <w:rPr>
          <w:color w:val="000000"/>
          <w:szCs w:val="24"/>
        </w:rPr>
        <w:t xml:space="preserve">, </w:t>
      </w:r>
      <w:r w:rsidR="00591FED" w:rsidRPr="007D4DDF">
        <w:rPr>
          <w:color w:val="000000"/>
          <w:szCs w:val="24"/>
        </w:rPr>
        <w:t xml:space="preserve">with </w:t>
      </w:r>
      <w:r w:rsidR="009F441A" w:rsidRPr="007D4DDF">
        <w:rPr>
          <w:color w:val="000000"/>
          <w:szCs w:val="24"/>
        </w:rPr>
        <w:t>the Unfair Contract Terms Directive providing the nexus between all three areas</w:t>
      </w:r>
      <w:r w:rsidRPr="007D4DDF">
        <w:rPr>
          <w:color w:val="000000"/>
          <w:szCs w:val="24"/>
        </w:rPr>
        <w:t>.</w:t>
      </w:r>
      <w:r w:rsidR="00BF052B" w:rsidRPr="007D4DDF">
        <w:rPr>
          <w:rStyle w:val="FootnoteReference"/>
          <w:color w:val="000000"/>
          <w:szCs w:val="24"/>
        </w:rPr>
        <w:footnoteReference w:id="130"/>
      </w:r>
      <w:r w:rsidRPr="007D4DDF">
        <w:rPr>
          <w:color w:val="000000"/>
          <w:szCs w:val="24"/>
        </w:rPr>
        <w:t xml:space="preserve"> </w:t>
      </w:r>
      <w:r w:rsidR="009F441A" w:rsidRPr="007D4DDF">
        <w:rPr>
          <w:color w:val="000000"/>
          <w:szCs w:val="24"/>
        </w:rPr>
        <w:t xml:space="preserve">The treatment of </w:t>
      </w:r>
      <w:r w:rsidR="00591FED" w:rsidRPr="007D4DDF">
        <w:rPr>
          <w:color w:val="000000"/>
          <w:szCs w:val="24"/>
        </w:rPr>
        <w:t xml:space="preserve">consumer </w:t>
      </w:r>
      <w:r w:rsidR="009F441A" w:rsidRPr="007D4DDF">
        <w:rPr>
          <w:color w:val="000000"/>
          <w:szCs w:val="24"/>
        </w:rPr>
        <w:t>mortgage contract</w:t>
      </w:r>
      <w:r w:rsidR="00591FED" w:rsidRPr="007D4DDF">
        <w:rPr>
          <w:color w:val="000000"/>
          <w:szCs w:val="24"/>
        </w:rPr>
        <w:t>s</w:t>
      </w:r>
      <w:r w:rsidR="009F441A" w:rsidRPr="007D4DDF">
        <w:rPr>
          <w:color w:val="000000"/>
          <w:szCs w:val="24"/>
        </w:rPr>
        <w:t xml:space="preserve"> by the CJEU has the potential to radically improve the rights of home loan borrowers in the EU context.</w:t>
      </w:r>
    </w:p>
    <w:p w14:paraId="497BC14B" w14:textId="77777777" w:rsidR="001F5DA4" w:rsidRPr="007D4DDF" w:rsidRDefault="001F5DA4" w:rsidP="00777703">
      <w:pPr>
        <w:spacing w:before="0" w:after="120" w:line="240" w:lineRule="auto"/>
        <w:rPr>
          <w:rFonts w:eastAsia="MS Mincho"/>
          <w:color w:val="000000"/>
          <w:szCs w:val="24"/>
          <w:lang w:eastAsia="ja-JP"/>
        </w:rPr>
      </w:pPr>
      <w:r w:rsidRPr="007D4DDF">
        <w:rPr>
          <w:rFonts w:eastAsia="MS Mincho"/>
          <w:color w:val="000000"/>
          <w:szCs w:val="24"/>
          <w:lang w:eastAsia="ja-JP"/>
        </w:rPr>
        <w:t>In November 2017</w:t>
      </w:r>
      <w:r w:rsidR="00B625F3" w:rsidRPr="007D4DDF">
        <w:rPr>
          <w:rFonts w:eastAsia="MS Mincho"/>
          <w:color w:val="000000"/>
          <w:szCs w:val="24"/>
          <w:lang w:eastAsia="ja-JP"/>
        </w:rPr>
        <w:t>,</w:t>
      </w:r>
      <w:r w:rsidRPr="007D4DDF">
        <w:rPr>
          <w:szCs w:val="24"/>
        </w:rPr>
        <w:t xml:space="preserve"> </w:t>
      </w:r>
      <w:r w:rsidRPr="007D4DDF">
        <w:rPr>
          <w:szCs w:val="24"/>
          <w:lang w:eastAsia="en-US"/>
        </w:rPr>
        <w:t>The European Parliament, the Council and the Commission solemnly proclaimed the European Pillar of Social Rights</w:t>
      </w:r>
      <w:r w:rsidRPr="007D4DDF">
        <w:rPr>
          <w:rStyle w:val="FootnoteReference"/>
          <w:szCs w:val="24"/>
          <w:lang w:eastAsia="en-US"/>
        </w:rPr>
        <w:footnoteReference w:id="131"/>
      </w:r>
      <w:r w:rsidRPr="007D4DDF">
        <w:rPr>
          <w:szCs w:val="24"/>
          <w:lang w:eastAsia="en-US"/>
        </w:rPr>
        <w:t xml:space="preserve"> laying down </w:t>
      </w:r>
      <w:r w:rsidR="0026502D" w:rsidRPr="007D4DDF">
        <w:rPr>
          <w:rFonts w:eastAsia="MS Mincho"/>
          <w:color w:val="000000"/>
          <w:szCs w:val="24"/>
          <w:lang w:eastAsia="ja-JP"/>
        </w:rPr>
        <w:t>20</w:t>
      </w:r>
      <w:r w:rsidRPr="007D4DDF">
        <w:rPr>
          <w:rFonts w:eastAsia="MS Mincho"/>
          <w:color w:val="000000"/>
          <w:szCs w:val="24"/>
          <w:lang w:eastAsia="ja-JP"/>
        </w:rPr>
        <w:t xml:space="preserve"> key principles for delivering stronger protection of social rights for citizens. The 19th Principle is </w:t>
      </w:r>
      <w:r w:rsidR="00CA005A" w:rsidRPr="007D4DDF">
        <w:rPr>
          <w:rFonts w:eastAsia="MS Mincho"/>
          <w:color w:val="000000"/>
          <w:szCs w:val="24"/>
          <w:lang w:eastAsia="ja-JP"/>
        </w:rPr>
        <w:t>focused</w:t>
      </w:r>
      <w:r w:rsidRPr="007D4DDF">
        <w:rPr>
          <w:rFonts w:eastAsia="MS Mincho"/>
          <w:color w:val="000000"/>
          <w:szCs w:val="24"/>
          <w:lang w:eastAsia="ja-JP"/>
        </w:rPr>
        <w:t xml:space="preserve"> on the right to housing and assistance for the homeless as follows:</w:t>
      </w:r>
    </w:p>
    <w:p w14:paraId="2BB32E64" w14:textId="59C38F8E" w:rsidR="001F5DA4" w:rsidRPr="007D4DDF" w:rsidRDefault="006B4157" w:rsidP="00777703">
      <w:pPr>
        <w:widowControl w:val="0"/>
        <w:autoSpaceDE w:val="0"/>
        <w:autoSpaceDN w:val="0"/>
        <w:adjustRightInd w:val="0"/>
        <w:spacing w:before="0" w:after="120" w:line="240" w:lineRule="auto"/>
        <w:ind w:left="993" w:hanging="273"/>
        <w:rPr>
          <w:rFonts w:eastAsia="MS Mincho"/>
          <w:color w:val="000000"/>
          <w:szCs w:val="24"/>
          <w:lang w:eastAsia="ja-JP"/>
        </w:rPr>
      </w:pPr>
      <w:r>
        <w:rPr>
          <w:rFonts w:eastAsia="MS Mincho"/>
          <w:color w:val="000000"/>
          <w:szCs w:val="24"/>
          <w:lang w:eastAsia="ja-JP"/>
        </w:rPr>
        <w:t>1.</w:t>
      </w:r>
      <w:r w:rsidR="001F5DA4" w:rsidRPr="007D4DDF">
        <w:rPr>
          <w:rFonts w:eastAsia="MS Mincho"/>
          <w:color w:val="000000"/>
          <w:szCs w:val="24"/>
          <w:lang w:eastAsia="ja-JP"/>
        </w:rPr>
        <w:t xml:space="preserve"> Access to social housing or high-quality housing assistance shall be provided for those in need.</w:t>
      </w:r>
    </w:p>
    <w:p w14:paraId="14078B7F" w14:textId="77777777" w:rsidR="001F5DA4" w:rsidRPr="007D4DDF" w:rsidRDefault="006B4157" w:rsidP="00777703">
      <w:pPr>
        <w:widowControl w:val="0"/>
        <w:autoSpaceDE w:val="0"/>
        <w:autoSpaceDN w:val="0"/>
        <w:adjustRightInd w:val="0"/>
        <w:spacing w:before="0" w:after="120" w:line="240" w:lineRule="auto"/>
        <w:ind w:left="993" w:hanging="284"/>
        <w:rPr>
          <w:rFonts w:eastAsia="MS Mincho"/>
          <w:color w:val="000000"/>
          <w:szCs w:val="24"/>
          <w:lang w:eastAsia="ja-JP"/>
        </w:rPr>
      </w:pPr>
      <w:r>
        <w:rPr>
          <w:rFonts w:eastAsia="MS Mincho"/>
          <w:color w:val="000000"/>
          <w:szCs w:val="24"/>
          <w:lang w:eastAsia="ja-JP"/>
        </w:rPr>
        <w:t>2.</w:t>
      </w:r>
      <w:r w:rsidR="001F5DA4" w:rsidRPr="007D4DDF">
        <w:rPr>
          <w:rFonts w:eastAsia="MS Mincho"/>
          <w:color w:val="000000"/>
          <w:szCs w:val="24"/>
          <w:lang w:eastAsia="ja-JP"/>
        </w:rPr>
        <w:t xml:space="preserve"> Vulnerable people have the right to appropriate assistance and protection against</w:t>
      </w:r>
      <w:r w:rsidR="00B625F3" w:rsidRPr="007D4DDF">
        <w:rPr>
          <w:rFonts w:eastAsia="MS Mincho"/>
          <w:color w:val="000000"/>
          <w:szCs w:val="24"/>
          <w:lang w:eastAsia="ja-JP"/>
        </w:rPr>
        <w:t xml:space="preserve"> </w:t>
      </w:r>
      <w:r w:rsidR="001F5DA4" w:rsidRPr="007D4DDF">
        <w:rPr>
          <w:rFonts w:eastAsia="MS Mincho"/>
          <w:color w:val="000000"/>
          <w:szCs w:val="24"/>
          <w:lang w:eastAsia="ja-JP"/>
        </w:rPr>
        <w:t>forced eviction.</w:t>
      </w:r>
    </w:p>
    <w:p w14:paraId="2CD8A09F" w14:textId="149B5EDB" w:rsidR="001F5DA4" w:rsidRPr="007D4DDF" w:rsidRDefault="006B4157" w:rsidP="008B1CB3">
      <w:pPr>
        <w:widowControl w:val="0"/>
        <w:autoSpaceDE w:val="0"/>
        <w:autoSpaceDN w:val="0"/>
        <w:adjustRightInd w:val="0"/>
        <w:spacing w:before="0" w:after="120" w:line="240" w:lineRule="auto"/>
        <w:ind w:left="993" w:hanging="284"/>
        <w:rPr>
          <w:color w:val="000000"/>
          <w:szCs w:val="24"/>
        </w:rPr>
      </w:pPr>
      <w:r>
        <w:rPr>
          <w:rFonts w:eastAsia="MS Mincho"/>
          <w:color w:val="000000"/>
          <w:szCs w:val="24"/>
          <w:lang w:eastAsia="ja-JP"/>
        </w:rPr>
        <w:t>3.</w:t>
      </w:r>
      <w:r w:rsidR="001F5DA4" w:rsidRPr="007D4DDF">
        <w:rPr>
          <w:rFonts w:eastAsia="MS Mincho"/>
          <w:color w:val="000000"/>
          <w:szCs w:val="24"/>
          <w:lang w:eastAsia="ja-JP"/>
        </w:rPr>
        <w:t xml:space="preserve"> Adequate shelter</w:t>
      </w:r>
      <w:r w:rsidR="006C72F5" w:rsidRPr="007D4DDF">
        <w:rPr>
          <w:rFonts w:eastAsia="MS Mincho"/>
          <w:color w:val="000000"/>
          <w:szCs w:val="24"/>
          <w:lang w:eastAsia="ja-JP"/>
        </w:rPr>
        <w:t>.</w:t>
      </w:r>
    </w:p>
    <w:p w14:paraId="0D96BE9F" w14:textId="77777777" w:rsidR="00B625F3" w:rsidRPr="007D4DDF" w:rsidRDefault="00B625F3" w:rsidP="00777703">
      <w:pPr>
        <w:widowControl w:val="0"/>
        <w:autoSpaceDE w:val="0"/>
        <w:autoSpaceDN w:val="0"/>
        <w:adjustRightInd w:val="0"/>
        <w:spacing w:before="0" w:after="120" w:line="240" w:lineRule="auto"/>
        <w:rPr>
          <w:rFonts w:eastAsia="MS Mincho"/>
          <w:szCs w:val="24"/>
          <w:lang w:eastAsia="ja-JP"/>
        </w:rPr>
      </w:pPr>
      <w:r w:rsidRPr="007D4DDF">
        <w:rPr>
          <w:rFonts w:eastAsia="MS Mincho"/>
          <w:szCs w:val="24"/>
        </w:rPr>
        <w:t>Abbe Pierre Foundation and FEANTSA have welcomed t</w:t>
      </w:r>
      <w:r w:rsidRPr="007D4DDF">
        <w:rPr>
          <w:rFonts w:eastAsia="MS Mincho"/>
          <w:szCs w:val="24"/>
          <w:lang w:eastAsia="ja-JP"/>
        </w:rPr>
        <w:t xml:space="preserve">he European Pillar of Social Rights as giving </w:t>
      </w:r>
      <w:r w:rsidR="009E6737" w:rsidRPr="007D4DDF">
        <w:rPr>
          <w:rFonts w:eastAsia="MS Mincho"/>
          <w:szCs w:val="24"/>
          <w:lang w:eastAsia="ja-JP"/>
        </w:rPr>
        <w:t>‘</w:t>
      </w:r>
      <w:r w:rsidRPr="007D4DDF">
        <w:rPr>
          <w:rFonts w:eastAsia="MS Mincho"/>
          <w:szCs w:val="24"/>
          <w:lang w:eastAsia="ja-JP"/>
        </w:rPr>
        <w:t>hope of a positive change in relation to social rights in Europe</w:t>
      </w:r>
      <w:r w:rsidR="009E6737" w:rsidRPr="007D4DDF">
        <w:rPr>
          <w:rFonts w:eastAsia="MS Mincho"/>
          <w:szCs w:val="24"/>
          <w:lang w:eastAsia="ja-JP"/>
        </w:rPr>
        <w:t>’</w:t>
      </w:r>
      <w:r w:rsidRPr="007D4DDF">
        <w:rPr>
          <w:rFonts w:eastAsia="MS Mincho"/>
          <w:szCs w:val="24"/>
          <w:lang w:eastAsia="ja-JP"/>
        </w:rPr>
        <w:t>.</w:t>
      </w:r>
      <w:r w:rsidRPr="007D4DDF">
        <w:rPr>
          <w:rStyle w:val="FootnoteReference"/>
          <w:rFonts w:eastAsia="MS Mincho"/>
          <w:szCs w:val="24"/>
          <w:lang w:eastAsia="ja-JP"/>
        </w:rPr>
        <w:footnoteReference w:id="132"/>
      </w:r>
      <w:r w:rsidR="00035758" w:rsidRPr="007D4DDF">
        <w:rPr>
          <w:rFonts w:eastAsia="MS Mincho"/>
          <w:szCs w:val="24"/>
          <w:lang w:eastAsia="ja-JP"/>
        </w:rPr>
        <w:t xml:space="preserve"> </w:t>
      </w:r>
    </w:p>
    <w:p w14:paraId="6B1B83FB" w14:textId="2792C4F6" w:rsidR="0059379C" w:rsidRPr="007D4DDF" w:rsidRDefault="00B625F3" w:rsidP="00777703">
      <w:pPr>
        <w:widowControl w:val="0"/>
        <w:autoSpaceDE w:val="0"/>
        <w:autoSpaceDN w:val="0"/>
        <w:adjustRightInd w:val="0"/>
        <w:spacing w:before="0" w:after="120" w:line="240" w:lineRule="auto"/>
        <w:ind w:left="720"/>
        <w:rPr>
          <w:rFonts w:eastAsia="MS Mincho"/>
          <w:sz w:val="22"/>
          <w:lang w:eastAsia="ja-JP"/>
        </w:rPr>
      </w:pPr>
      <w:r w:rsidRPr="007D4DDF">
        <w:rPr>
          <w:rFonts w:eastAsia="MS Mincho"/>
          <w:sz w:val="22"/>
          <w:lang w:eastAsia="ja-JP"/>
        </w:rPr>
        <w:lastRenderedPageBreak/>
        <w:t xml:space="preserve">This provision makes use of Article 34.3 of the Charter of Fundamental Rights of the European Union which recognises the right to social and housing assistance to ensure a decent existence for all those who lack sufficient resources. </w:t>
      </w:r>
    </w:p>
    <w:p w14:paraId="19A32ECE" w14:textId="77777777" w:rsidR="0059379C" w:rsidRPr="007D4DDF" w:rsidRDefault="00B625F3" w:rsidP="00777703">
      <w:pPr>
        <w:widowControl w:val="0"/>
        <w:autoSpaceDE w:val="0"/>
        <w:autoSpaceDN w:val="0"/>
        <w:adjustRightInd w:val="0"/>
        <w:spacing w:before="0" w:after="120" w:line="240" w:lineRule="auto"/>
        <w:ind w:left="720"/>
        <w:rPr>
          <w:rFonts w:eastAsia="MS Mincho"/>
          <w:sz w:val="22"/>
          <w:lang w:eastAsia="ja-JP"/>
        </w:rPr>
      </w:pPr>
      <w:r w:rsidRPr="007D4DDF">
        <w:rPr>
          <w:rFonts w:eastAsia="MS Mincho"/>
          <w:sz w:val="22"/>
          <w:lang w:eastAsia="ja-JP"/>
        </w:rPr>
        <w:t>Although the Commission’s initiative was welcomed, a point of concern was that of the legal nature of the principles. The principles and rights enshrined in the Pillar are not directly enforceable and non-binding. They need to be translated into concerted action and legislation. In the case of principle 19, Member States are invited to adopt measures to support universal access to accommodation.</w:t>
      </w:r>
    </w:p>
    <w:p w14:paraId="24476563" w14:textId="77777777" w:rsidR="00B419E4" w:rsidRPr="007D4DDF" w:rsidRDefault="00B625F3" w:rsidP="00777703">
      <w:pPr>
        <w:widowControl w:val="0"/>
        <w:autoSpaceDE w:val="0"/>
        <w:autoSpaceDN w:val="0"/>
        <w:adjustRightInd w:val="0"/>
        <w:spacing w:before="0" w:after="120" w:line="240" w:lineRule="auto"/>
        <w:ind w:left="720"/>
        <w:rPr>
          <w:rFonts w:eastAsia="MS Mincho"/>
          <w:sz w:val="22"/>
          <w:lang w:eastAsia="ja-JP"/>
        </w:rPr>
      </w:pPr>
      <w:r w:rsidRPr="007D4DDF">
        <w:rPr>
          <w:rFonts w:eastAsia="MS Mincho"/>
          <w:sz w:val="22"/>
          <w:lang w:eastAsia="ja-JP"/>
        </w:rPr>
        <w:t xml:space="preserve">The Secretary General of the Council of Europe believes that the Pillar is an opportunity. However, he expressed concerns that </w:t>
      </w:r>
      <w:r w:rsidR="00E579F0" w:rsidRPr="007D4DDF">
        <w:rPr>
          <w:rFonts w:eastAsia="MS Mincho"/>
          <w:sz w:val="22"/>
          <w:lang w:eastAsia="ja-JP"/>
        </w:rPr>
        <w:t>‘</w:t>
      </w:r>
      <w:r w:rsidRPr="007D4DDF">
        <w:rPr>
          <w:rFonts w:eastAsia="MS Mincho"/>
          <w:sz w:val="22"/>
          <w:lang w:eastAsia="ja-JP"/>
        </w:rPr>
        <w:t>while the standard-setting systems of the European Union and</w:t>
      </w:r>
      <w:r w:rsidR="00BF052B" w:rsidRPr="007D4DDF">
        <w:rPr>
          <w:rFonts w:eastAsia="MS Mincho"/>
          <w:sz w:val="22"/>
          <w:lang w:eastAsia="ja-JP"/>
        </w:rPr>
        <w:t xml:space="preserve"> </w:t>
      </w:r>
      <w:r w:rsidRPr="007D4DDF">
        <w:rPr>
          <w:rFonts w:eastAsia="MS Mincho"/>
          <w:sz w:val="22"/>
          <w:lang w:eastAsia="ja-JP"/>
        </w:rPr>
        <w:t xml:space="preserve">Council of Europe constitute a comprehensive and structured whole, the persisting </w:t>
      </w:r>
      <w:r w:rsidR="00BF052B" w:rsidRPr="007D4DDF">
        <w:rPr>
          <w:rFonts w:eastAsia="MS Mincho"/>
          <w:sz w:val="22"/>
          <w:lang w:eastAsia="ja-JP"/>
        </w:rPr>
        <w:t>i</w:t>
      </w:r>
      <w:r w:rsidRPr="007D4DDF">
        <w:rPr>
          <w:rFonts w:eastAsia="MS Mincho"/>
          <w:sz w:val="22"/>
          <w:lang w:eastAsia="ja-JP"/>
        </w:rPr>
        <w:t>nconsistencies between them could jeopardise effective enforcement of the rights that they guarantee</w:t>
      </w:r>
      <w:r w:rsidR="00E579F0" w:rsidRPr="007D4DDF">
        <w:rPr>
          <w:rFonts w:eastAsia="MS Mincho"/>
          <w:sz w:val="22"/>
          <w:lang w:eastAsia="ja-JP"/>
        </w:rPr>
        <w:t>.’</w:t>
      </w:r>
      <w:r w:rsidRPr="007D4DDF">
        <w:rPr>
          <w:rFonts w:eastAsia="MS Mincho"/>
          <w:sz w:val="22"/>
          <w:lang w:eastAsia="ja-JP"/>
        </w:rPr>
        <w:t xml:space="preserve"> Many European stakeholders believe that the provisions of the European Social Charter should be formally incorporated into the European Pillar of Social Rights as a common benchmark.</w:t>
      </w:r>
    </w:p>
    <w:p w14:paraId="6209448E" w14:textId="04249A1D" w:rsidR="00B625F3" w:rsidRPr="007D4DDF" w:rsidRDefault="00B625F3" w:rsidP="00777703">
      <w:pPr>
        <w:widowControl w:val="0"/>
        <w:autoSpaceDE w:val="0"/>
        <w:autoSpaceDN w:val="0"/>
        <w:adjustRightInd w:val="0"/>
        <w:spacing w:before="0" w:after="120" w:line="240" w:lineRule="auto"/>
        <w:ind w:left="720"/>
        <w:rPr>
          <w:rFonts w:eastAsia="MS Mincho"/>
          <w:szCs w:val="24"/>
        </w:rPr>
      </w:pPr>
      <w:r w:rsidRPr="007D4DDF">
        <w:rPr>
          <w:rFonts w:eastAsia="MS Mincho"/>
          <w:sz w:val="22"/>
          <w:lang w:eastAsia="ja-JP"/>
        </w:rPr>
        <w:t xml:space="preserve">Indeed, the proclamation states that: </w:t>
      </w:r>
      <w:r w:rsidR="009856E9" w:rsidRPr="007D4DDF">
        <w:rPr>
          <w:rFonts w:eastAsia="MS Mincho"/>
          <w:sz w:val="22"/>
          <w:lang w:eastAsia="ja-JP"/>
        </w:rPr>
        <w:t>‘</w:t>
      </w:r>
      <w:r w:rsidRPr="007D4DDF">
        <w:rPr>
          <w:rFonts w:eastAsia="MS Mincho"/>
          <w:sz w:val="22"/>
          <w:lang w:eastAsia="ja-JP"/>
        </w:rPr>
        <w:t>nothing in the European Pillar of Social Rights shall</w:t>
      </w:r>
      <w:r w:rsidR="00F92FA6" w:rsidRPr="007D4DDF">
        <w:rPr>
          <w:rFonts w:eastAsia="MS Mincho"/>
          <w:sz w:val="22"/>
          <w:lang w:eastAsia="ja-JP"/>
        </w:rPr>
        <w:t xml:space="preserve"> </w:t>
      </w:r>
      <w:r w:rsidRPr="007D4DDF">
        <w:rPr>
          <w:rFonts w:eastAsia="MS Mincho"/>
          <w:sz w:val="22"/>
          <w:lang w:eastAsia="ja-JP"/>
        </w:rPr>
        <w:t>be interpreted as restricting or adversely affecting rights and principles as recognised, in their respective fields of application, by Union law or international law and by international agreements to which the Union or all the Member States are party, including the European Social Charter signed at Turin on 18 October 1961</w:t>
      </w:r>
      <w:r w:rsidR="009856E9" w:rsidRPr="007D4DDF">
        <w:rPr>
          <w:rFonts w:eastAsia="MS Mincho"/>
          <w:sz w:val="22"/>
          <w:lang w:eastAsia="ja-JP"/>
        </w:rPr>
        <w:t xml:space="preserve"> (…)’.</w:t>
      </w:r>
      <w:r w:rsidRPr="007D4DDF">
        <w:rPr>
          <w:rStyle w:val="FootnoteReference"/>
          <w:rFonts w:eastAsia="MS Mincho"/>
          <w:szCs w:val="24"/>
          <w:lang w:eastAsia="ja-JP"/>
        </w:rPr>
        <w:footnoteReference w:id="133"/>
      </w:r>
    </w:p>
    <w:p w14:paraId="1897E144" w14:textId="77777777" w:rsidR="005E3E99" w:rsidRPr="007D4DDF" w:rsidRDefault="001F5DA4" w:rsidP="00777703">
      <w:pPr>
        <w:spacing w:before="0" w:after="120" w:line="240" w:lineRule="auto"/>
        <w:rPr>
          <w:color w:val="000000"/>
          <w:szCs w:val="24"/>
        </w:rPr>
      </w:pPr>
      <w:r w:rsidRPr="007D4DDF">
        <w:rPr>
          <w:rFonts w:eastAsia="MS Mincho"/>
          <w:szCs w:val="24"/>
        </w:rPr>
        <w:t xml:space="preserve">Housing Europe has pointed out that </w:t>
      </w:r>
      <w:r w:rsidR="005E3E99" w:rsidRPr="007D4DDF">
        <w:rPr>
          <w:rFonts w:eastAsia="MS Mincho"/>
          <w:szCs w:val="24"/>
        </w:rPr>
        <w:t xml:space="preserve">neither the Pillar nor the </w:t>
      </w:r>
      <w:r w:rsidRPr="007D4DDF">
        <w:rPr>
          <w:rFonts w:eastAsia="MS Mincho"/>
          <w:szCs w:val="24"/>
        </w:rPr>
        <w:t xml:space="preserve">associated </w:t>
      </w:r>
      <w:r w:rsidR="005E3E99" w:rsidRPr="007D4DDF">
        <w:rPr>
          <w:rFonts w:eastAsia="MS Mincho"/>
          <w:szCs w:val="24"/>
        </w:rPr>
        <w:t>social scoreboard makes an express reference to the right to housing</w:t>
      </w:r>
      <w:r w:rsidR="007A7839">
        <w:rPr>
          <w:rFonts w:eastAsia="MS Mincho"/>
          <w:szCs w:val="24"/>
        </w:rPr>
        <w:t xml:space="preserve">. Thus, </w:t>
      </w:r>
      <w:r w:rsidR="005E3E99" w:rsidRPr="007D4DDF">
        <w:rPr>
          <w:rFonts w:eastAsia="MS Mincho"/>
          <w:szCs w:val="24"/>
        </w:rPr>
        <w:t>the EU Commission will not supervi</w:t>
      </w:r>
      <w:r w:rsidR="009134ED">
        <w:rPr>
          <w:rFonts w:eastAsia="MS Mincho"/>
          <w:szCs w:val="24"/>
        </w:rPr>
        <w:t>s</w:t>
      </w:r>
      <w:r w:rsidR="005E3E99" w:rsidRPr="007D4DDF">
        <w:rPr>
          <w:rFonts w:eastAsia="MS Mincho"/>
          <w:szCs w:val="24"/>
        </w:rPr>
        <w:t xml:space="preserve">e housing affordability, the number of people in </w:t>
      </w:r>
      <w:r w:rsidR="007A7839">
        <w:rPr>
          <w:rFonts w:eastAsia="MS Mincho"/>
          <w:szCs w:val="24"/>
        </w:rPr>
        <w:t xml:space="preserve">housing </w:t>
      </w:r>
      <w:r w:rsidR="005E3E99" w:rsidRPr="007D4DDF">
        <w:rPr>
          <w:rFonts w:eastAsia="MS Mincho"/>
          <w:szCs w:val="24"/>
        </w:rPr>
        <w:t>need or, generally speaking, the policies adopted to comply with the provisions enshrined in the Pillar</w:t>
      </w:r>
      <w:r w:rsidR="005F0AAE" w:rsidRPr="007D4DDF">
        <w:rPr>
          <w:rFonts w:eastAsia="MS Mincho"/>
          <w:szCs w:val="24"/>
        </w:rPr>
        <w:t>.</w:t>
      </w:r>
      <w:r w:rsidR="005E3E99" w:rsidRPr="007D4DDF">
        <w:rPr>
          <w:rStyle w:val="FootnoteReference"/>
          <w:rFonts w:eastAsia="MS Mincho"/>
          <w:szCs w:val="24"/>
        </w:rPr>
        <w:footnoteReference w:id="134"/>
      </w:r>
      <w:r w:rsidR="007A7839">
        <w:rPr>
          <w:rFonts w:eastAsia="MS Mincho"/>
          <w:szCs w:val="24"/>
        </w:rPr>
        <w:t xml:space="preserve"> Yet, the Pillar adds to the </w:t>
      </w:r>
      <w:r w:rsidR="007A7839" w:rsidRPr="00AF3ACC">
        <w:rPr>
          <w:rFonts w:eastAsia="MS Mincho"/>
          <w:i/>
          <w:szCs w:val="24"/>
        </w:rPr>
        <w:t xml:space="preserve">acquis </w:t>
      </w:r>
      <w:r w:rsidR="007A7839">
        <w:rPr>
          <w:rFonts w:eastAsia="MS Mincho"/>
          <w:szCs w:val="24"/>
        </w:rPr>
        <w:t>of housing rights instruments in Europe.</w:t>
      </w:r>
    </w:p>
    <w:p w14:paraId="15A9B3D7" w14:textId="77777777" w:rsidR="005E3E99" w:rsidRPr="007D4DDF" w:rsidRDefault="005E3E99" w:rsidP="00777703">
      <w:pPr>
        <w:spacing w:before="0" w:after="120" w:line="240" w:lineRule="auto"/>
        <w:rPr>
          <w:color w:val="000000"/>
          <w:szCs w:val="24"/>
        </w:rPr>
      </w:pPr>
    </w:p>
    <w:p w14:paraId="2A64F32F" w14:textId="75670E6C" w:rsidR="001A4592" w:rsidRPr="007D4DDF" w:rsidRDefault="005B44CA" w:rsidP="00777703">
      <w:pPr>
        <w:pStyle w:val="Heading2"/>
        <w:spacing w:before="0" w:after="120" w:line="240" w:lineRule="auto"/>
        <w:ind w:left="1134" w:hanging="1134"/>
        <w:rPr>
          <w:rFonts w:ascii="Times New Roman" w:hAnsi="Times New Roman"/>
        </w:rPr>
      </w:pPr>
      <w:bookmarkStart w:id="15" w:name="_Toc508191203"/>
      <w:r w:rsidRPr="007D4DDF">
        <w:rPr>
          <w:rFonts w:ascii="Times New Roman" w:hAnsi="Times New Roman"/>
        </w:rPr>
        <w:t>4.5</w:t>
      </w:r>
      <w:r w:rsidR="006E160F">
        <w:rPr>
          <w:rFonts w:ascii="Times New Roman" w:hAnsi="Times New Roman"/>
        </w:rPr>
        <w:t xml:space="preserve">. </w:t>
      </w:r>
      <w:r w:rsidR="0058403B" w:rsidRPr="007D4DDF">
        <w:rPr>
          <w:rFonts w:ascii="Times New Roman" w:hAnsi="Times New Roman"/>
        </w:rPr>
        <w:t xml:space="preserve">Constitutional and </w:t>
      </w:r>
      <w:r w:rsidR="000D7B32" w:rsidRPr="007D4DDF">
        <w:rPr>
          <w:rFonts w:ascii="Times New Roman" w:hAnsi="Times New Roman"/>
        </w:rPr>
        <w:t>L</w:t>
      </w:r>
      <w:r w:rsidR="0058403B" w:rsidRPr="007D4DDF">
        <w:rPr>
          <w:rFonts w:ascii="Times New Roman" w:hAnsi="Times New Roman"/>
        </w:rPr>
        <w:t xml:space="preserve">egislative </w:t>
      </w:r>
      <w:r w:rsidR="000D7B32" w:rsidRPr="007D4DDF">
        <w:rPr>
          <w:rFonts w:ascii="Times New Roman" w:hAnsi="Times New Roman"/>
        </w:rPr>
        <w:t>P</w:t>
      </w:r>
      <w:r w:rsidR="0058403B" w:rsidRPr="007D4DDF">
        <w:rPr>
          <w:rFonts w:ascii="Times New Roman" w:hAnsi="Times New Roman"/>
        </w:rPr>
        <w:t xml:space="preserve">rotection from </w:t>
      </w:r>
      <w:r w:rsidR="000D7B32" w:rsidRPr="007D4DDF">
        <w:rPr>
          <w:rFonts w:ascii="Times New Roman" w:hAnsi="Times New Roman"/>
        </w:rPr>
        <w:t>E</w:t>
      </w:r>
      <w:r w:rsidR="0058403B" w:rsidRPr="007D4DDF">
        <w:rPr>
          <w:rFonts w:ascii="Times New Roman" w:hAnsi="Times New Roman"/>
        </w:rPr>
        <w:t>victions</w:t>
      </w:r>
      <w:bookmarkEnd w:id="15"/>
    </w:p>
    <w:p w14:paraId="7DD20EC3" w14:textId="77777777" w:rsidR="001A4592" w:rsidRPr="007D4DDF" w:rsidRDefault="0058403B" w:rsidP="00395E14">
      <w:pPr>
        <w:pStyle w:val="normal12"/>
        <w:suppressAutoHyphens/>
        <w:spacing w:before="0" w:line="240" w:lineRule="auto"/>
        <w:jc w:val="left"/>
        <w:rPr>
          <w:rFonts w:ascii="Times New Roman" w:hAnsi="Times New Roman"/>
          <w:color w:val="000000"/>
        </w:rPr>
      </w:pPr>
      <w:r w:rsidRPr="007D4DDF">
        <w:rPr>
          <w:rFonts w:ascii="Times New Roman" w:hAnsi="Times New Roman"/>
          <w:color w:val="000000"/>
        </w:rPr>
        <w:t xml:space="preserve">Among the EU Member States, some </w:t>
      </w:r>
      <w:r w:rsidR="006771D4" w:rsidRPr="007D4DDF">
        <w:rPr>
          <w:rFonts w:ascii="Times New Roman" w:hAnsi="Times New Roman"/>
          <w:color w:val="000000"/>
        </w:rPr>
        <w:t>eleven</w:t>
      </w:r>
      <w:r w:rsidRPr="007D4DDF">
        <w:rPr>
          <w:rFonts w:ascii="Times New Roman" w:hAnsi="Times New Roman"/>
          <w:color w:val="000000"/>
        </w:rPr>
        <w:t xml:space="preserve"> countries, all of them with civil law systems, make specific reference to housing in their constitutions</w:t>
      </w:r>
      <w:r w:rsidR="003510AA" w:rsidRPr="007D4DDF">
        <w:rPr>
          <w:rFonts w:ascii="Times New Roman" w:hAnsi="Times New Roman"/>
          <w:color w:val="000000"/>
        </w:rPr>
        <w:t>.</w:t>
      </w:r>
      <w:r w:rsidR="00020316" w:rsidRPr="007D4DDF">
        <w:rPr>
          <w:rStyle w:val="FootnoteReference"/>
          <w:rFonts w:ascii="Times New Roman" w:hAnsi="Times New Roman"/>
          <w:color w:val="000000"/>
        </w:rPr>
        <w:footnoteReference w:id="135"/>
      </w:r>
      <w:r w:rsidR="00A30391" w:rsidRPr="007D4DDF">
        <w:rPr>
          <w:rFonts w:ascii="Times New Roman" w:eastAsia="MS Mincho" w:hAnsi="Times New Roman"/>
          <w:lang w:eastAsia="ja-JP"/>
        </w:rPr>
        <w:t xml:space="preserve"> </w:t>
      </w:r>
      <w:r w:rsidRPr="007D4DDF">
        <w:rPr>
          <w:rFonts w:ascii="Times New Roman" w:hAnsi="Times New Roman"/>
          <w:color w:val="000000"/>
        </w:rPr>
        <w:t xml:space="preserve">The </w:t>
      </w:r>
      <w:r w:rsidR="00051C02" w:rsidRPr="007D4DDF">
        <w:rPr>
          <w:rFonts w:ascii="Times New Roman" w:hAnsi="Times New Roman"/>
          <w:color w:val="000000"/>
        </w:rPr>
        <w:t>‘</w:t>
      </w:r>
      <w:r w:rsidRPr="007D4DDF">
        <w:rPr>
          <w:rFonts w:ascii="Times New Roman" w:hAnsi="Times New Roman"/>
          <w:color w:val="000000"/>
        </w:rPr>
        <w:t>inviolability</w:t>
      </w:r>
      <w:r w:rsidR="00051C02" w:rsidRPr="007D4DDF">
        <w:rPr>
          <w:rFonts w:ascii="Times New Roman" w:hAnsi="Times New Roman"/>
          <w:color w:val="000000"/>
        </w:rPr>
        <w:t>’</w:t>
      </w:r>
      <w:r w:rsidRPr="007D4DDF">
        <w:rPr>
          <w:rFonts w:ascii="Times New Roman" w:hAnsi="Times New Roman"/>
          <w:color w:val="000000"/>
        </w:rPr>
        <w:t xml:space="preserve"> of the home is specifically protected in the constitutions of </w:t>
      </w:r>
      <w:r w:rsidR="007A7839">
        <w:rPr>
          <w:rFonts w:ascii="Times New Roman" w:hAnsi="Times New Roman"/>
          <w:color w:val="000000"/>
        </w:rPr>
        <w:t>m</w:t>
      </w:r>
      <w:r w:rsidRPr="007D4DDF">
        <w:rPr>
          <w:rFonts w:ascii="Times New Roman" w:hAnsi="Times New Roman"/>
          <w:color w:val="000000"/>
        </w:rPr>
        <w:t>ost EU Member States.</w:t>
      </w:r>
      <w:r w:rsidRPr="007D4DDF">
        <w:rPr>
          <w:rStyle w:val="FootnoteReference"/>
          <w:rFonts w:ascii="Times New Roman" w:hAnsi="Times New Roman"/>
          <w:color w:val="000000"/>
        </w:rPr>
        <w:footnoteReference w:id="136"/>
      </w:r>
      <w:r w:rsidRPr="007D4DDF">
        <w:rPr>
          <w:rFonts w:ascii="Times New Roman" w:hAnsi="Times New Roman"/>
          <w:color w:val="000000"/>
        </w:rPr>
        <w:t xml:space="preserve"> This is often juxtaposed with the universally </w:t>
      </w:r>
      <w:r w:rsidR="009134ED" w:rsidRPr="007D4DDF">
        <w:rPr>
          <w:rFonts w:ascii="Times New Roman" w:hAnsi="Times New Roman"/>
          <w:color w:val="000000"/>
        </w:rPr>
        <w:t>recogni</w:t>
      </w:r>
      <w:r w:rsidR="009134ED">
        <w:rPr>
          <w:rFonts w:ascii="Times New Roman" w:hAnsi="Times New Roman"/>
          <w:color w:val="000000"/>
        </w:rPr>
        <w:t>z</w:t>
      </w:r>
      <w:r w:rsidR="009134ED" w:rsidRPr="007D4DDF">
        <w:rPr>
          <w:rFonts w:ascii="Times New Roman" w:hAnsi="Times New Roman"/>
          <w:color w:val="000000"/>
        </w:rPr>
        <w:t xml:space="preserve">ed </w:t>
      </w:r>
      <w:r w:rsidRPr="007D4DDF">
        <w:rPr>
          <w:rFonts w:ascii="Times New Roman" w:hAnsi="Times New Roman"/>
          <w:color w:val="000000"/>
        </w:rPr>
        <w:t xml:space="preserve">right to property, enabling expropriation </w:t>
      </w:r>
      <w:r w:rsidR="007A7839">
        <w:rPr>
          <w:rFonts w:ascii="Times New Roman" w:hAnsi="Times New Roman"/>
          <w:color w:val="000000"/>
        </w:rPr>
        <w:t xml:space="preserve">and regulation of property rights </w:t>
      </w:r>
      <w:r w:rsidRPr="007D4DDF">
        <w:rPr>
          <w:rFonts w:ascii="Times New Roman" w:hAnsi="Times New Roman"/>
          <w:color w:val="000000"/>
        </w:rPr>
        <w:t xml:space="preserve">for public purposes, with compensation </w:t>
      </w:r>
      <w:r w:rsidRPr="007D4DDF">
        <w:rPr>
          <w:rFonts w:ascii="Times New Roman" w:hAnsi="Times New Roman"/>
          <w:color w:val="000000"/>
        </w:rPr>
        <w:lastRenderedPageBreak/>
        <w:t>required in some cases.</w:t>
      </w:r>
      <w:r w:rsidRPr="007D4DDF">
        <w:rPr>
          <w:rStyle w:val="FootnoteReference"/>
          <w:rFonts w:ascii="Times New Roman" w:hAnsi="Times New Roman"/>
          <w:color w:val="000000"/>
        </w:rPr>
        <w:footnoteReference w:id="137"/>
      </w:r>
      <w:r w:rsidRPr="007D4DDF">
        <w:rPr>
          <w:rFonts w:ascii="Times New Roman" w:hAnsi="Times New Roman"/>
          <w:color w:val="000000"/>
        </w:rPr>
        <w:t xml:space="preserve"> Article 30 of the Polish Constitution, on the obligation to respect and protect the inherent and inalienable dignity of the person, </w:t>
      </w:r>
      <w:r w:rsidR="00E93F4E" w:rsidRPr="007D4DDF">
        <w:rPr>
          <w:rFonts w:ascii="Times New Roman" w:hAnsi="Times New Roman"/>
          <w:color w:val="000000"/>
        </w:rPr>
        <w:t>was</w:t>
      </w:r>
      <w:r w:rsidRPr="007D4DDF">
        <w:rPr>
          <w:rFonts w:ascii="Times New Roman" w:hAnsi="Times New Roman"/>
          <w:color w:val="000000"/>
        </w:rPr>
        <w:t xml:space="preserve"> invoked by the Polish Constitutional Court in 2001 to rule that</w:t>
      </w:r>
      <w:r w:rsidR="00A60CD9" w:rsidRPr="007D4DDF">
        <w:rPr>
          <w:rFonts w:ascii="Times New Roman" w:hAnsi="Times New Roman"/>
          <w:color w:val="000000"/>
        </w:rPr>
        <w:t>,</w:t>
      </w:r>
      <w:r w:rsidRPr="007D4DDF">
        <w:rPr>
          <w:rFonts w:ascii="Times New Roman" w:hAnsi="Times New Roman"/>
          <w:color w:val="000000"/>
        </w:rPr>
        <w:t xml:space="preserve"> </w:t>
      </w:r>
      <w:r w:rsidR="00051C02" w:rsidRPr="007D4DDF">
        <w:rPr>
          <w:rFonts w:ascii="Times New Roman" w:hAnsi="Times New Roman"/>
          <w:color w:val="000000"/>
        </w:rPr>
        <w:t>‘</w:t>
      </w:r>
      <w:r w:rsidRPr="007D4DDF">
        <w:rPr>
          <w:rFonts w:ascii="Times New Roman" w:hAnsi="Times New Roman"/>
          <w:color w:val="000000"/>
        </w:rPr>
        <w:t>evictions to nowhere</w:t>
      </w:r>
      <w:r w:rsidR="00051C02" w:rsidRPr="007D4DDF">
        <w:rPr>
          <w:rFonts w:ascii="Times New Roman" w:hAnsi="Times New Roman"/>
          <w:color w:val="000000"/>
        </w:rPr>
        <w:t>’</w:t>
      </w:r>
      <w:r w:rsidRPr="007D4DDF">
        <w:rPr>
          <w:rFonts w:ascii="Times New Roman" w:hAnsi="Times New Roman"/>
          <w:color w:val="000000"/>
        </w:rPr>
        <w:t xml:space="preserve"> (in the absence of alternative temporary housing</w:t>
      </w:r>
      <w:r w:rsidR="00D94EE2" w:rsidRPr="007D4DDF">
        <w:rPr>
          <w:rFonts w:ascii="Times New Roman" w:hAnsi="Times New Roman"/>
          <w:color w:val="000000"/>
        </w:rPr>
        <w:t>)</w:t>
      </w:r>
      <w:r w:rsidRPr="007D4DDF">
        <w:rPr>
          <w:rFonts w:ascii="Times New Roman" w:hAnsi="Times New Roman"/>
          <w:color w:val="000000"/>
        </w:rPr>
        <w:t xml:space="preserve"> were unconstitutional.</w:t>
      </w:r>
      <w:r w:rsidRPr="007D4DDF">
        <w:rPr>
          <w:rStyle w:val="FootnoteReference"/>
          <w:rFonts w:ascii="Times New Roman" w:hAnsi="Times New Roman"/>
          <w:color w:val="000000"/>
        </w:rPr>
        <w:footnoteReference w:id="138"/>
      </w:r>
      <w:r w:rsidRPr="007D4DDF">
        <w:rPr>
          <w:rFonts w:ascii="Times New Roman" w:hAnsi="Times New Roman"/>
          <w:color w:val="000000"/>
        </w:rPr>
        <w:t xml:space="preserve"> Nevertheless, express terms on housing rights in constitutions or laws are not always an indicator of stronger protection from eviction.</w:t>
      </w:r>
    </w:p>
    <w:p w14:paraId="7E8D53FC" w14:textId="77777777" w:rsidR="001A4592" w:rsidRPr="007D4DDF" w:rsidRDefault="0058403B" w:rsidP="00777703">
      <w:pPr>
        <w:autoSpaceDE w:val="0"/>
        <w:autoSpaceDN w:val="0"/>
        <w:adjustRightInd w:val="0"/>
        <w:spacing w:before="0" w:after="120" w:line="240" w:lineRule="auto"/>
        <w:rPr>
          <w:color w:val="000000"/>
          <w:szCs w:val="24"/>
          <w:lang w:eastAsia="lt-LT"/>
        </w:rPr>
      </w:pPr>
      <w:r w:rsidRPr="007D4DDF">
        <w:rPr>
          <w:color w:val="000000"/>
          <w:szCs w:val="24"/>
          <w:lang w:eastAsia="lt-LT"/>
        </w:rPr>
        <w:t>Public policy measures enable a court to suspend, postpone or restrict the execution of eviction orders for specified purposes.</w:t>
      </w:r>
      <w:r w:rsidRPr="007D4DDF">
        <w:rPr>
          <w:color w:val="000000"/>
          <w:szCs w:val="24"/>
        </w:rPr>
        <w:t xml:space="preserve"> Winter bans on evictions exist in Austria,</w:t>
      </w:r>
      <w:r w:rsidR="00035758" w:rsidRPr="007D4DDF">
        <w:rPr>
          <w:color w:val="000000"/>
          <w:szCs w:val="24"/>
        </w:rPr>
        <w:t xml:space="preserve"> </w:t>
      </w:r>
      <w:r w:rsidR="00A43E44" w:rsidRPr="007D4DDF">
        <w:rPr>
          <w:color w:val="000000"/>
          <w:szCs w:val="24"/>
        </w:rPr>
        <w:t xml:space="preserve">the </w:t>
      </w:r>
      <w:r w:rsidRPr="007D4DDF">
        <w:rPr>
          <w:color w:val="000000"/>
          <w:szCs w:val="24"/>
        </w:rPr>
        <w:t>Brussels</w:t>
      </w:r>
      <w:r w:rsidR="00A43E44" w:rsidRPr="007D4DDF">
        <w:rPr>
          <w:color w:val="000000"/>
          <w:szCs w:val="24"/>
        </w:rPr>
        <w:t>-Capital</w:t>
      </w:r>
      <w:r w:rsidRPr="007D4DDF">
        <w:rPr>
          <w:color w:val="000000"/>
          <w:szCs w:val="24"/>
        </w:rPr>
        <w:t xml:space="preserve"> and Wallonia Regions of Belgium, France, Hungary</w:t>
      </w:r>
      <w:r w:rsidR="007A7839">
        <w:rPr>
          <w:color w:val="000000"/>
          <w:szCs w:val="24"/>
        </w:rPr>
        <w:t xml:space="preserve"> and </w:t>
      </w:r>
      <w:r w:rsidRPr="007D4DDF">
        <w:rPr>
          <w:color w:val="000000"/>
          <w:szCs w:val="24"/>
        </w:rPr>
        <w:t>Poland</w:t>
      </w:r>
      <w:r w:rsidR="007A7839">
        <w:rPr>
          <w:color w:val="000000"/>
          <w:szCs w:val="24"/>
        </w:rPr>
        <w:t>. T</w:t>
      </w:r>
      <w:r w:rsidRPr="007D4DDF">
        <w:rPr>
          <w:color w:val="000000"/>
          <w:szCs w:val="24"/>
        </w:rPr>
        <w:t xml:space="preserve">here have been moratoria (either legal or </w:t>
      </w:r>
      <w:r w:rsidRPr="007D4DDF">
        <w:rPr>
          <w:i/>
          <w:color w:val="000000"/>
          <w:szCs w:val="24"/>
        </w:rPr>
        <w:t>de facto</w:t>
      </w:r>
      <w:r w:rsidRPr="007D4DDF">
        <w:rPr>
          <w:color w:val="000000"/>
          <w:szCs w:val="24"/>
        </w:rPr>
        <w:t>, with broader or narrower scope</w:t>
      </w:r>
      <w:r w:rsidR="00D94EE2" w:rsidRPr="007D4DDF">
        <w:rPr>
          <w:color w:val="000000"/>
          <w:szCs w:val="24"/>
        </w:rPr>
        <w:t>)</w:t>
      </w:r>
      <w:r w:rsidRPr="007D4DDF">
        <w:rPr>
          <w:color w:val="000000"/>
          <w:szCs w:val="24"/>
        </w:rPr>
        <w:t xml:space="preserve"> on actual evictions in Cyprus, Greece, Ireland, Italy, Spain (for vulnerable households until 2017) and Portugal. In Italy, a state fund operates to permit the temporary suspension of mortgage repayments where the debtor fulfils certain requirements. The suspension of </w:t>
      </w:r>
      <w:r w:rsidR="00051C02" w:rsidRPr="007D4DDF">
        <w:rPr>
          <w:color w:val="000000"/>
          <w:szCs w:val="24"/>
          <w:lang w:eastAsia="lt-LT"/>
        </w:rPr>
        <w:t>‘</w:t>
      </w:r>
      <w:r w:rsidRPr="007D4DDF">
        <w:rPr>
          <w:color w:val="000000"/>
          <w:szCs w:val="24"/>
          <w:lang w:eastAsia="lt-LT"/>
        </w:rPr>
        <w:t>evictions to nowhere</w:t>
      </w:r>
      <w:r w:rsidR="00051C02" w:rsidRPr="007D4DDF">
        <w:rPr>
          <w:color w:val="000000"/>
          <w:szCs w:val="24"/>
          <w:lang w:eastAsia="lt-LT"/>
        </w:rPr>
        <w:t>’</w:t>
      </w:r>
      <w:r w:rsidRPr="007D4DDF">
        <w:rPr>
          <w:color w:val="000000"/>
          <w:szCs w:val="24"/>
          <w:lang w:eastAsia="lt-LT"/>
        </w:rPr>
        <w:t xml:space="preserve"> in Poland and Slovakia protects those with children, </w:t>
      </w:r>
      <w:r w:rsidRPr="007D4DDF">
        <w:rPr>
          <w:color w:val="000000"/>
          <w:szCs w:val="24"/>
        </w:rPr>
        <w:t>pregnant women</w:t>
      </w:r>
      <w:r w:rsidRPr="007D4DDF">
        <w:rPr>
          <w:color w:val="000000"/>
          <w:szCs w:val="24"/>
          <w:lang w:eastAsia="lt-LT"/>
        </w:rPr>
        <w:t xml:space="preserve">, larger families, people with disabilities, old people and other vulnerable people. In some cases, such as </w:t>
      </w:r>
      <w:r w:rsidR="00D8167F" w:rsidRPr="007D4DDF">
        <w:rPr>
          <w:color w:val="000000"/>
          <w:szCs w:val="24"/>
          <w:lang w:eastAsia="lt-LT"/>
        </w:rPr>
        <w:t xml:space="preserve">in </w:t>
      </w:r>
      <w:r w:rsidRPr="007D4DDF">
        <w:rPr>
          <w:color w:val="000000"/>
          <w:szCs w:val="24"/>
          <w:lang w:eastAsia="lt-LT"/>
        </w:rPr>
        <w:t>Spain, Lithuania and Poland, courts have linked evictions to the right to respect for home and family life under Article 8 ECHR, European Union law and the human rights of children.</w:t>
      </w:r>
    </w:p>
    <w:p w14:paraId="0EDBE236" w14:textId="77777777" w:rsidR="001A4592" w:rsidRPr="007D4DDF" w:rsidRDefault="002820CB" w:rsidP="00777703">
      <w:pPr>
        <w:spacing w:before="0" w:after="120" w:line="240" w:lineRule="auto"/>
        <w:rPr>
          <w:szCs w:val="24"/>
        </w:rPr>
      </w:pPr>
      <w:r w:rsidRPr="007D4DDF">
        <w:rPr>
          <w:szCs w:val="24"/>
        </w:rPr>
        <w:t>In Belgium, Article 23 of the 1994 Constitution declares that everyone has the right to a decent living</w:t>
      </w:r>
      <w:r w:rsidR="00965C0B" w:rsidRPr="007D4DDF">
        <w:rPr>
          <w:szCs w:val="24"/>
        </w:rPr>
        <w:t>,</w:t>
      </w:r>
      <w:r w:rsidRPr="007D4DDF">
        <w:rPr>
          <w:szCs w:val="24"/>
        </w:rPr>
        <w:t xml:space="preserve"> which includes the right to decent housing. This can be used to contest the appropriateness of an eviction, as well as giving direction to the interpretation of legal norms.</w:t>
      </w:r>
      <w:r w:rsidRPr="007D4DDF">
        <w:rPr>
          <w:rStyle w:val="FootnoteReference"/>
          <w:szCs w:val="24"/>
        </w:rPr>
        <w:footnoteReference w:id="139"/>
      </w:r>
      <w:r w:rsidRPr="007D4DDF">
        <w:rPr>
          <w:szCs w:val="24"/>
        </w:rPr>
        <w:t xml:space="preserve"> No one can be evicted without a court order except </w:t>
      </w:r>
      <w:r w:rsidR="00D8167F" w:rsidRPr="007D4DDF">
        <w:rPr>
          <w:szCs w:val="24"/>
        </w:rPr>
        <w:t xml:space="preserve">in the case of </w:t>
      </w:r>
      <w:r w:rsidRPr="007D4DDF">
        <w:rPr>
          <w:szCs w:val="24"/>
        </w:rPr>
        <w:t xml:space="preserve">a municipal or regional administration </w:t>
      </w:r>
      <w:r w:rsidR="00A05670" w:rsidRPr="007D4DDF">
        <w:rPr>
          <w:szCs w:val="24"/>
        </w:rPr>
        <w:t>for</w:t>
      </w:r>
      <w:r w:rsidRPr="007D4DDF">
        <w:rPr>
          <w:szCs w:val="24"/>
        </w:rPr>
        <w:t xml:space="preserve"> </w:t>
      </w:r>
      <w:r w:rsidR="00D8167F" w:rsidRPr="007D4DDF">
        <w:rPr>
          <w:szCs w:val="24"/>
        </w:rPr>
        <w:t xml:space="preserve">an </w:t>
      </w:r>
      <w:r w:rsidRPr="007D4DDF">
        <w:rPr>
          <w:szCs w:val="24"/>
        </w:rPr>
        <w:t>uninhabited dwelling</w:t>
      </w:r>
      <w:r w:rsidR="00A05670" w:rsidRPr="007D4DDF">
        <w:rPr>
          <w:szCs w:val="24"/>
        </w:rPr>
        <w:t xml:space="preserve">. </w:t>
      </w:r>
      <w:r w:rsidRPr="007D4DDF">
        <w:rPr>
          <w:szCs w:val="24"/>
        </w:rPr>
        <w:t xml:space="preserve">The right to housing is endorsed in the Housing Codes of all three Regions </w:t>
      </w:r>
      <w:r w:rsidR="003F5D68" w:rsidRPr="007D4DDF">
        <w:rPr>
          <w:szCs w:val="24"/>
        </w:rPr>
        <w:t xml:space="preserve">(Brussels-Capital, Walloon, Flanders) </w:t>
      </w:r>
      <w:r w:rsidRPr="007D4DDF">
        <w:rPr>
          <w:szCs w:val="24"/>
        </w:rPr>
        <w:t>in Belgium.</w:t>
      </w:r>
    </w:p>
    <w:p w14:paraId="2481E83E" w14:textId="77777777" w:rsidR="001A4592" w:rsidRPr="007D4DDF" w:rsidRDefault="002820CB" w:rsidP="00777703">
      <w:pPr>
        <w:spacing w:before="0" w:after="120" w:line="240" w:lineRule="auto"/>
        <w:rPr>
          <w:szCs w:val="24"/>
        </w:rPr>
      </w:pPr>
      <w:r w:rsidRPr="007D4DDF">
        <w:rPr>
          <w:szCs w:val="24"/>
        </w:rPr>
        <w:t xml:space="preserve">Marc </w:t>
      </w:r>
      <w:proofErr w:type="spellStart"/>
      <w:r w:rsidRPr="007D4DDF">
        <w:rPr>
          <w:szCs w:val="24"/>
        </w:rPr>
        <w:t>Uhry</w:t>
      </w:r>
      <w:proofErr w:type="spellEnd"/>
      <w:r w:rsidR="00BD6722" w:rsidRPr="007D4DDF">
        <w:rPr>
          <w:szCs w:val="24"/>
        </w:rPr>
        <w:t xml:space="preserve"> </w:t>
      </w:r>
      <w:r w:rsidRPr="007D4DDF">
        <w:rPr>
          <w:szCs w:val="24"/>
        </w:rPr>
        <w:t>recounts that in France</w:t>
      </w:r>
      <w:r w:rsidR="00A60CD9" w:rsidRPr="007D4DDF">
        <w:rPr>
          <w:szCs w:val="24"/>
        </w:rPr>
        <w:t>,</w:t>
      </w:r>
      <w:r w:rsidRPr="007D4DDF">
        <w:rPr>
          <w:szCs w:val="24"/>
        </w:rPr>
        <w:t xml:space="preserve"> housing is not a constitutional right, although the Supreme Court</w:t>
      </w:r>
      <w:r w:rsidR="00A30391" w:rsidRPr="007D4DDF">
        <w:rPr>
          <w:szCs w:val="24"/>
        </w:rPr>
        <w:t xml:space="preserve"> </w:t>
      </w:r>
      <w:r w:rsidRPr="007D4DDF">
        <w:rPr>
          <w:szCs w:val="24"/>
        </w:rPr>
        <w:t>held in 1995 that the right to housing was a constitutional goal. Legislation in 1989, 1990, 2007,</w:t>
      </w:r>
      <w:r w:rsidRPr="007D4DDF">
        <w:rPr>
          <w:rStyle w:val="FootnoteReference"/>
          <w:szCs w:val="24"/>
        </w:rPr>
        <w:footnoteReference w:id="140"/>
      </w:r>
      <w:r w:rsidRPr="007D4DDF">
        <w:rPr>
          <w:szCs w:val="24"/>
        </w:rPr>
        <w:t xml:space="preserve"> 2009, 2013 and 2014 refer to housing rights in the various tenures and in relation to measures addressing homelessness.</w:t>
      </w:r>
      <w:r w:rsidRPr="007D4DDF">
        <w:rPr>
          <w:color w:val="000000"/>
          <w:szCs w:val="24"/>
        </w:rPr>
        <w:t xml:space="preserve"> </w:t>
      </w:r>
      <w:r w:rsidRPr="007D4DDF">
        <w:rPr>
          <w:color w:val="212121"/>
          <w:szCs w:val="24"/>
        </w:rPr>
        <w:t xml:space="preserve">German law does not guarantee an individually enforceable right to housing, although </w:t>
      </w:r>
      <w:r w:rsidRPr="007D4DDF">
        <w:rPr>
          <w:szCs w:val="24"/>
        </w:rPr>
        <w:t xml:space="preserve">states such as Bremen, Bavaria and Berlin have regulations on housing rights which enable local </w:t>
      </w:r>
      <w:r w:rsidRPr="007D4DDF">
        <w:rPr>
          <w:szCs w:val="24"/>
        </w:rPr>
        <w:lastRenderedPageBreak/>
        <w:t>authorities to develop housing policies.</w:t>
      </w:r>
      <w:r w:rsidRPr="007D4DDF">
        <w:rPr>
          <w:rStyle w:val="FootnoteReference"/>
          <w:szCs w:val="24"/>
        </w:rPr>
        <w:footnoteReference w:id="141"/>
      </w:r>
      <w:r w:rsidRPr="007D4DDF">
        <w:rPr>
          <w:szCs w:val="24"/>
        </w:rPr>
        <w:t xml:space="preserve"> There are obligations on municipalities to provide temporary accommodation for people who would otherwise be homeless, as involuntary homelessness is considered a serious threat to public safety. Occasionally, to prevent homeless</w:t>
      </w:r>
      <w:r w:rsidR="0020709C" w:rsidRPr="007D4DDF">
        <w:rPr>
          <w:szCs w:val="24"/>
        </w:rPr>
        <w:t>ness</w:t>
      </w:r>
      <w:r w:rsidRPr="007D4DDF">
        <w:rPr>
          <w:szCs w:val="24"/>
        </w:rPr>
        <w:t>, the authorities may require that a tenant remains in situ after a lawful termination of tenancy, with rent support provided.</w:t>
      </w:r>
    </w:p>
    <w:p w14:paraId="26B755F6" w14:textId="77777777" w:rsidR="001A4592" w:rsidRPr="007D4DDF" w:rsidRDefault="002820CB" w:rsidP="00777703">
      <w:pPr>
        <w:spacing w:before="0" w:after="120" w:line="240" w:lineRule="auto"/>
        <w:rPr>
          <w:szCs w:val="24"/>
        </w:rPr>
      </w:pPr>
      <w:r w:rsidRPr="007D4DDF">
        <w:rPr>
          <w:szCs w:val="24"/>
        </w:rPr>
        <w:t xml:space="preserve">Article 12 of the Constitution of Hungary 2012 states that: </w:t>
      </w:r>
      <w:r w:rsidR="006F45A7" w:rsidRPr="007D4DDF">
        <w:rPr>
          <w:szCs w:val="24"/>
        </w:rPr>
        <w:t>‘</w:t>
      </w:r>
      <w:r w:rsidRPr="007D4DDF">
        <w:rPr>
          <w:szCs w:val="24"/>
        </w:rPr>
        <w:t>Hungary shall strive to ensure decent housing conditions and access to public services for everyone.</w:t>
      </w:r>
      <w:r w:rsidR="006F45A7" w:rsidRPr="007D4DDF">
        <w:rPr>
          <w:szCs w:val="24"/>
        </w:rPr>
        <w:t>’</w:t>
      </w:r>
      <w:r w:rsidRPr="007D4DDF">
        <w:rPr>
          <w:szCs w:val="24"/>
        </w:rPr>
        <w:t xml:space="preserve"> There is an obligation on the </w:t>
      </w:r>
      <w:r w:rsidR="0000263C" w:rsidRPr="007D4DDF">
        <w:rPr>
          <w:szCs w:val="24"/>
        </w:rPr>
        <w:t>state</w:t>
      </w:r>
      <w:r w:rsidRPr="007D4DDF">
        <w:rPr>
          <w:szCs w:val="24"/>
        </w:rPr>
        <w:t xml:space="preserve"> and local municipalities to ensure accommodation for persons without a dwelling, although it is illegal to use a public space as a habitual dwelling. In Italy, </w:t>
      </w:r>
      <w:r w:rsidR="0020709C" w:rsidRPr="007D4DDF">
        <w:rPr>
          <w:szCs w:val="24"/>
        </w:rPr>
        <w:t xml:space="preserve">in 1988 </w:t>
      </w:r>
      <w:r w:rsidRPr="007D4DDF">
        <w:rPr>
          <w:szCs w:val="24"/>
        </w:rPr>
        <w:t xml:space="preserve">the Constitutional Court </w:t>
      </w:r>
      <w:r w:rsidR="009134ED" w:rsidRPr="007D4DDF">
        <w:rPr>
          <w:szCs w:val="24"/>
        </w:rPr>
        <w:t>recogni</w:t>
      </w:r>
      <w:r w:rsidR="009134ED">
        <w:rPr>
          <w:szCs w:val="24"/>
        </w:rPr>
        <w:t>z</w:t>
      </w:r>
      <w:r w:rsidR="009134ED" w:rsidRPr="007D4DDF">
        <w:rPr>
          <w:szCs w:val="24"/>
        </w:rPr>
        <w:t xml:space="preserve">ed </w:t>
      </w:r>
      <w:r w:rsidRPr="007D4DDF">
        <w:rPr>
          <w:szCs w:val="24"/>
        </w:rPr>
        <w:t>rights to housing as a consequence of the mandatory duties of social solidarity in</w:t>
      </w:r>
      <w:r w:rsidR="00A30391" w:rsidRPr="007D4DDF">
        <w:rPr>
          <w:szCs w:val="24"/>
        </w:rPr>
        <w:t xml:space="preserve"> </w:t>
      </w:r>
      <w:r w:rsidRPr="007D4DDF">
        <w:rPr>
          <w:szCs w:val="24"/>
        </w:rPr>
        <w:t>Article 2 of the Constitution, and also Article 3 dealing with equality. Indeed, this is a right with horizontal effects among private parties. On the other hand, the suspension of eviction orders in densely populated municipalities was held to be in breach of European Convention on Human Rights (ECHR) property rights guarantees</w:t>
      </w:r>
      <w:r w:rsidR="00965C0B" w:rsidRPr="007D4DDF">
        <w:rPr>
          <w:szCs w:val="24"/>
        </w:rPr>
        <w:t>,</w:t>
      </w:r>
      <w:r w:rsidRPr="007D4DDF">
        <w:rPr>
          <w:szCs w:val="24"/>
        </w:rPr>
        <w:t xml:space="preserve"> </w:t>
      </w:r>
      <w:r w:rsidR="00A30391" w:rsidRPr="007D4DDF">
        <w:rPr>
          <w:szCs w:val="24"/>
        </w:rPr>
        <w:t>although</w:t>
      </w:r>
      <w:r w:rsidR="00965C0B" w:rsidRPr="007D4DDF">
        <w:rPr>
          <w:szCs w:val="24"/>
        </w:rPr>
        <w:t xml:space="preserve"> such moratoria can be used in areas of housing stress.</w:t>
      </w:r>
      <w:r w:rsidR="007A7839" w:rsidRPr="007A7839">
        <w:rPr>
          <w:rStyle w:val="FootnoteReference"/>
          <w:szCs w:val="24"/>
        </w:rPr>
        <w:t xml:space="preserve"> </w:t>
      </w:r>
      <w:r w:rsidR="007A7839" w:rsidRPr="007D4DDF">
        <w:rPr>
          <w:rStyle w:val="FootnoteReference"/>
          <w:szCs w:val="24"/>
        </w:rPr>
        <w:footnoteReference w:id="142"/>
      </w:r>
      <w:r w:rsidR="007A7839" w:rsidRPr="007D4DDF">
        <w:rPr>
          <w:szCs w:val="24"/>
        </w:rPr>
        <w:t xml:space="preserve"> </w:t>
      </w:r>
      <w:r w:rsidR="00965C0B" w:rsidRPr="007D4DDF">
        <w:rPr>
          <w:szCs w:val="24"/>
        </w:rPr>
        <w:t xml:space="preserve"> </w:t>
      </w:r>
      <w:r w:rsidRPr="007D4DDF">
        <w:rPr>
          <w:szCs w:val="24"/>
        </w:rPr>
        <w:t>There is no fundamental right to housing in the Irish Constitution, although there is a right to protection of the inviolability of the home, in line with almost all European countries. Legislation permits local authorities to provide social housing, and social welfare supports are provided by government and voluntary agencies.</w:t>
      </w:r>
    </w:p>
    <w:p w14:paraId="62698420" w14:textId="77777777" w:rsidR="001A4592" w:rsidRPr="007D4DDF" w:rsidRDefault="002820CB" w:rsidP="00777703">
      <w:pPr>
        <w:spacing w:before="0" w:after="120" w:line="240" w:lineRule="auto"/>
        <w:rPr>
          <w:szCs w:val="24"/>
        </w:rPr>
      </w:pPr>
      <w:r w:rsidRPr="007D4DDF">
        <w:rPr>
          <w:szCs w:val="24"/>
        </w:rPr>
        <w:t xml:space="preserve">In Poland, as Witold </w:t>
      </w:r>
      <w:proofErr w:type="spellStart"/>
      <w:r w:rsidRPr="007D4DDF">
        <w:rPr>
          <w:szCs w:val="24"/>
        </w:rPr>
        <w:t>Borysiak</w:t>
      </w:r>
      <w:proofErr w:type="spellEnd"/>
      <w:r w:rsidRPr="007D4DDF">
        <w:rPr>
          <w:szCs w:val="24"/>
        </w:rPr>
        <w:t xml:space="preserve"> describes, the Constitution gua</w:t>
      </w:r>
      <w:r w:rsidR="00BD6722" w:rsidRPr="007D4DDF">
        <w:rPr>
          <w:szCs w:val="24"/>
        </w:rPr>
        <w:t>rantees the inviolability of</w:t>
      </w:r>
      <w:r w:rsidRPr="007D4DDF">
        <w:rPr>
          <w:szCs w:val="24"/>
        </w:rPr>
        <w:t xml:space="preserve"> human dignity, as well as obliging public authorities to pursue policies to combat homelessness and grant statutory protection to tenants. </w:t>
      </w:r>
      <w:r w:rsidR="00D57B01" w:rsidRPr="007D4DDF">
        <w:rPr>
          <w:szCs w:val="24"/>
        </w:rPr>
        <w:t xml:space="preserve">A </w:t>
      </w:r>
      <w:r w:rsidR="00D57B01" w:rsidRPr="007D4DDF">
        <w:rPr>
          <w:color w:val="000000"/>
          <w:szCs w:val="24"/>
        </w:rPr>
        <w:t xml:space="preserve">combination of the Act on Tenants Rights and Municipal Housing Stock 2001, together with Article 146 of the Code of Civil Procedure, and the Act on Social Assistance 2004, creates a duty to provide a place to sleep in a shelter to every evicted person. </w:t>
      </w:r>
      <w:r w:rsidRPr="007D4DDF">
        <w:rPr>
          <w:szCs w:val="24"/>
        </w:rPr>
        <w:t xml:space="preserve">Constitutional Court decisions have led to the principle of </w:t>
      </w:r>
      <w:r w:rsidR="00C844D4" w:rsidRPr="007D4DDF">
        <w:rPr>
          <w:szCs w:val="24"/>
        </w:rPr>
        <w:t>‘</w:t>
      </w:r>
      <w:r w:rsidRPr="007D4DDF">
        <w:rPr>
          <w:szCs w:val="24"/>
        </w:rPr>
        <w:t>no evictions to nowhere</w:t>
      </w:r>
      <w:r w:rsidR="00C844D4" w:rsidRPr="007D4DDF">
        <w:rPr>
          <w:szCs w:val="24"/>
        </w:rPr>
        <w:t>’</w:t>
      </w:r>
      <w:r w:rsidRPr="007D4DDF">
        <w:rPr>
          <w:szCs w:val="24"/>
        </w:rPr>
        <w:t xml:space="preserve"> as the combination of constitutional, statute and human rights protections are applied.</w:t>
      </w:r>
      <w:r w:rsidRPr="007D4DDF">
        <w:rPr>
          <w:rStyle w:val="FootnoteReference"/>
          <w:szCs w:val="24"/>
        </w:rPr>
        <w:footnoteReference w:id="143"/>
      </w:r>
      <w:r w:rsidRPr="007D4DDF">
        <w:rPr>
          <w:szCs w:val="24"/>
        </w:rPr>
        <w:t xml:space="preserve"> Indeed, the courts have ordered that social housing be made available in 70 per cent</w:t>
      </w:r>
      <w:r w:rsidR="00A30391" w:rsidRPr="007D4DDF">
        <w:rPr>
          <w:szCs w:val="24"/>
        </w:rPr>
        <w:t xml:space="preserve"> </w:t>
      </w:r>
      <w:r w:rsidRPr="007D4DDF">
        <w:rPr>
          <w:szCs w:val="24"/>
        </w:rPr>
        <w:t>of eviction cases, and social housing was required to be provided before eviction in some 50 per cent of cases. C</w:t>
      </w:r>
      <w:r w:rsidR="007A7839">
        <w:rPr>
          <w:szCs w:val="24"/>
        </w:rPr>
        <w:t xml:space="preserve">ourts, </w:t>
      </w:r>
      <w:r w:rsidRPr="007D4DDF">
        <w:rPr>
          <w:szCs w:val="24"/>
        </w:rPr>
        <w:t>in 2010</w:t>
      </w:r>
      <w:r w:rsidR="007A7839">
        <w:rPr>
          <w:szCs w:val="24"/>
        </w:rPr>
        <w:t>,</w:t>
      </w:r>
      <w:r w:rsidRPr="007D4DDF">
        <w:rPr>
          <w:szCs w:val="24"/>
        </w:rPr>
        <w:t xml:space="preserve"> established the right of a person entitled to such social housing to claim compensation from a local authority where it was not provided. The Polish Ombudsman has established that it is not possible to evict a person where the court has made such an order unless temporary accommodation at least is provided. The Polish Constitutional Court applies the approach that an eviction without adequate alternative housing violates Article 8 ECHR, </w:t>
      </w:r>
      <w:r w:rsidR="00DF5B13" w:rsidRPr="007D4DDF">
        <w:rPr>
          <w:szCs w:val="24"/>
        </w:rPr>
        <w:t xml:space="preserve">which, </w:t>
      </w:r>
      <w:r w:rsidRPr="007D4DDF">
        <w:rPr>
          <w:szCs w:val="24"/>
        </w:rPr>
        <w:t xml:space="preserve">combined with the Constitution, requires minimum safeguards in relation to housing rights. Case law in 2013 established that this also applies to social housing evictions. In Poland, illegal eviction is punishable </w:t>
      </w:r>
      <w:r w:rsidRPr="007D4DDF">
        <w:rPr>
          <w:szCs w:val="24"/>
        </w:rPr>
        <w:lastRenderedPageBreak/>
        <w:t>under Article 191 of the Criminal Code and 2</w:t>
      </w:r>
      <w:r w:rsidR="00737FFB" w:rsidRPr="007D4DDF">
        <w:rPr>
          <w:szCs w:val="24"/>
        </w:rPr>
        <w:t xml:space="preserve"> </w:t>
      </w:r>
      <w:r w:rsidRPr="007D4DDF">
        <w:rPr>
          <w:szCs w:val="24"/>
        </w:rPr>
        <w:t>065 such proceedings were initiated in 2015, with convictions in 1</w:t>
      </w:r>
      <w:r w:rsidR="00737FFB" w:rsidRPr="007D4DDF">
        <w:rPr>
          <w:szCs w:val="24"/>
        </w:rPr>
        <w:t xml:space="preserve"> </w:t>
      </w:r>
      <w:r w:rsidRPr="007D4DDF">
        <w:rPr>
          <w:szCs w:val="24"/>
        </w:rPr>
        <w:t>551 cases, which involved a fine or suspended jail sentence.</w:t>
      </w:r>
    </w:p>
    <w:p w14:paraId="04FE9D97" w14:textId="77777777" w:rsidR="001A4592" w:rsidRPr="007D4DDF" w:rsidRDefault="002820CB" w:rsidP="00777703">
      <w:pPr>
        <w:spacing w:before="0" w:after="120" w:line="240" w:lineRule="auto"/>
        <w:rPr>
          <w:szCs w:val="24"/>
        </w:rPr>
      </w:pPr>
      <w:r w:rsidRPr="007D4DDF">
        <w:rPr>
          <w:szCs w:val="24"/>
        </w:rPr>
        <w:t>Although Article 36 of the Constitution of the Republic of Slovenia guarantees the inviolability of the dwelling, there is no fundamental right to housing per se.</w:t>
      </w:r>
      <w:r w:rsidRPr="007D4DDF">
        <w:rPr>
          <w:i/>
          <w:szCs w:val="24"/>
        </w:rPr>
        <w:t xml:space="preserve"> </w:t>
      </w:r>
      <w:r w:rsidRPr="007D4DDF">
        <w:rPr>
          <w:szCs w:val="24"/>
        </w:rPr>
        <w:t>Legislation from 2003 protects tenants from eviction for rent arrears where they are faced with extraordinary circumstances, such as death in the family, illness or unemployment.</w:t>
      </w:r>
    </w:p>
    <w:p w14:paraId="36F054CA" w14:textId="77777777" w:rsidR="001E5A68" w:rsidRPr="007D4DDF" w:rsidRDefault="002820CB" w:rsidP="00777703">
      <w:pPr>
        <w:spacing w:before="0" w:after="120" w:line="240" w:lineRule="auto"/>
        <w:rPr>
          <w:szCs w:val="24"/>
        </w:rPr>
      </w:pPr>
      <w:r w:rsidRPr="007D4DDF">
        <w:rPr>
          <w:szCs w:val="24"/>
        </w:rPr>
        <w:t xml:space="preserve">In Spain, the right to housing is not a fundamental right but </w:t>
      </w:r>
      <w:r w:rsidR="00DF5B13" w:rsidRPr="007D4DDF">
        <w:rPr>
          <w:szCs w:val="24"/>
        </w:rPr>
        <w:t xml:space="preserve">is </w:t>
      </w:r>
      <w:r w:rsidRPr="007D4DDF">
        <w:rPr>
          <w:szCs w:val="24"/>
        </w:rPr>
        <w:t>considered a programmatic principle which guides legislation and the courts. The Spanish Supreme Court has defined this right as a fundamental right of freedom, which include</w:t>
      </w:r>
      <w:r w:rsidR="00BD6722" w:rsidRPr="007D4DDF">
        <w:rPr>
          <w:szCs w:val="24"/>
        </w:rPr>
        <w:t>s</w:t>
      </w:r>
      <w:r w:rsidRPr="007D4DDF">
        <w:rPr>
          <w:szCs w:val="24"/>
        </w:rPr>
        <w:t xml:space="preserve"> the sanctity of the home and promotes the free development of the personality. Judicial activism has led to many new interpretations on the extent and nature of housing rights. </w:t>
      </w:r>
      <w:proofErr w:type="gramStart"/>
      <w:r w:rsidRPr="007D4DDF">
        <w:rPr>
          <w:szCs w:val="24"/>
        </w:rPr>
        <w:t>This,</w:t>
      </w:r>
      <w:proofErr w:type="gramEnd"/>
      <w:r w:rsidRPr="007D4DDF">
        <w:rPr>
          <w:szCs w:val="24"/>
        </w:rPr>
        <w:t xml:space="preserve"> combined with an increasing number of CJEU judgments on consumer law and human rights, as well as ECtHR rulings</w:t>
      </w:r>
      <w:r w:rsidR="00A30391" w:rsidRPr="007D4DDF">
        <w:rPr>
          <w:szCs w:val="24"/>
        </w:rPr>
        <w:t xml:space="preserve"> </w:t>
      </w:r>
      <w:r w:rsidRPr="007D4DDF">
        <w:rPr>
          <w:szCs w:val="24"/>
        </w:rPr>
        <w:t xml:space="preserve">on the eviction of squatters, and United Nations reports, means that legal development in the area of evictions </w:t>
      </w:r>
      <w:r w:rsidR="00697731" w:rsidRPr="007D4DDF">
        <w:rPr>
          <w:szCs w:val="24"/>
        </w:rPr>
        <w:t xml:space="preserve">in Spain </w:t>
      </w:r>
      <w:r w:rsidRPr="007D4DDF">
        <w:rPr>
          <w:szCs w:val="24"/>
        </w:rPr>
        <w:t>is the most active in Europe.</w:t>
      </w:r>
      <w:r w:rsidR="002140E9" w:rsidRPr="007D4DDF">
        <w:rPr>
          <w:szCs w:val="24"/>
        </w:rPr>
        <w:t xml:space="preserve"> </w:t>
      </w:r>
      <w:r w:rsidR="002140E9" w:rsidRPr="007D4DDF">
        <w:rPr>
          <w:rStyle w:val="hps"/>
          <w:szCs w:val="24"/>
        </w:rPr>
        <w:t>The Order of the</w:t>
      </w:r>
      <w:r w:rsidR="002140E9" w:rsidRPr="007D4DDF">
        <w:rPr>
          <w:szCs w:val="24"/>
        </w:rPr>
        <w:t xml:space="preserve"> </w:t>
      </w:r>
      <w:r w:rsidR="002140E9" w:rsidRPr="007D4DDF">
        <w:rPr>
          <w:rStyle w:val="hps"/>
          <w:szCs w:val="24"/>
        </w:rPr>
        <w:t>Court</w:t>
      </w:r>
      <w:r w:rsidR="002140E9" w:rsidRPr="007D4DDF">
        <w:rPr>
          <w:szCs w:val="24"/>
        </w:rPr>
        <w:t xml:space="preserve"> </w:t>
      </w:r>
      <w:r w:rsidR="002140E9" w:rsidRPr="007D4DDF">
        <w:rPr>
          <w:rStyle w:val="hps"/>
          <w:szCs w:val="24"/>
        </w:rPr>
        <w:t>of First</w:t>
      </w:r>
      <w:r w:rsidR="002140E9" w:rsidRPr="007D4DDF">
        <w:rPr>
          <w:szCs w:val="24"/>
        </w:rPr>
        <w:t xml:space="preserve"> </w:t>
      </w:r>
      <w:r w:rsidR="002140E9" w:rsidRPr="007D4DDF">
        <w:rPr>
          <w:rStyle w:val="hps"/>
          <w:szCs w:val="24"/>
        </w:rPr>
        <w:t>Instance</w:t>
      </w:r>
      <w:r w:rsidR="002140E9" w:rsidRPr="007D4DDF">
        <w:rPr>
          <w:szCs w:val="24"/>
        </w:rPr>
        <w:t xml:space="preserve"> </w:t>
      </w:r>
      <w:r w:rsidR="002140E9" w:rsidRPr="007D4DDF">
        <w:rPr>
          <w:rStyle w:val="hps"/>
          <w:szCs w:val="24"/>
        </w:rPr>
        <w:t>No. 39</w:t>
      </w:r>
      <w:r w:rsidR="002140E9" w:rsidRPr="007D4DDF">
        <w:rPr>
          <w:szCs w:val="24"/>
        </w:rPr>
        <w:t xml:space="preserve"> </w:t>
      </w:r>
      <w:r w:rsidR="002140E9" w:rsidRPr="007D4DDF">
        <w:rPr>
          <w:rStyle w:val="hps"/>
          <w:szCs w:val="24"/>
        </w:rPr>
        <w:t>of</w:t>
      </w:r>
      <w:r w:rsidR="002140E9" w:rsidRPr="007D4DDF">
        <w:rPr>
          <w:szCs w:val="24"/>
        </w:rPr>
        <w:t xml:space="preserve"> </w:t>
      </w:r>
      <w:r w:rsidR="002140E9" w:rsidRPr="007D4DDF">
        <w:rPr>
          <w:rStyle w:val="hps"/>
          <w:szCs w:val="24"/>
        </w:rPr>
        <w:t>Madrid</w:t>
      </w:r>
      <w:r w:rsidR="002140E9" w:rsidRPr="007D4DDF">
        <w:rPr>
          <w:szCs w:val="24"/>
        </w:rPr>
        <w:t xml:space="preserve"> </w:t>
      </w:r>
      <w:r w:rsidR="002140E9" w:rsidRPr="007D4DDF">
        <w:rPr>
          <w:rStyle w:val="hps"/>
          <w:szCs w:val="24"/>
        </w:rPr>
        <w:t>6/3/2013</w:t>
      </w:r>
      <w:r w:rsidR="00A60CD9" w:rsidRPr="007D4DDF">
        <w:rPr>
          <w:rStyle w:val="hps"/>
          <w:szCs w:val="24"/>
        </w:rPr>
        <w:t>,</w:t>
      </w:r>
      <w:r w:rsidR="002140E9" w:rsidRPr="007D4DDF">
        <w:rPr>
          <w:rStyle w:val="hps"/>
          <w:szCs w:val="24"/>
        </w:rPr>
        <w:t xml:space="preserve"> </w:t>
      </w:r>
      <w:r w:rsidR="002140E9" w:rsidRPr="007D4DDF">
        <w:rPr>
          <w:szCs w:val="24"/>
        </w:rPr>
        <w:t xml:space="preserve">suspended </w:t>
      </w:r>
      <w:r w:rsidR="002140E9" w:rsidRPr="007D4DDF">
        <w:rPr>
          <w:rStyle w:val="hps"/>
          <w:szCs w:val="24"/>
        </w:rPr>
        <w:t>the eviction (by the Municipal Housing Company of Madrid) of a</w:t>
      </w:r>
      <w:r w:rsidR="002140E9" w:rsidRPr="007D4DDF">
        <w:rPr>
          <w:szCs w:val="24"/>
        </w:rPr>
        <w:t xml:space="preserve"> </w:t>
      </w:r>
      <w:r w:rsidR="002140E9" w:rsidRPr="007D4DDF">
        <w:rPr>
          <w:rStyle w:val="hps"/>
          <w:szCs w:val="24"/>
        </w:rPr>
        <w:t>tenant</w:t>
      </w:r>
      <w:r w:rsidR="002140E9" w:rsidRPr="007D4DDF">
        <w:rPr>
          <w:szCs w:val="24"/>
        </w:rPr>
        <w:t xml:space="preserve"> </w:t>
      </w:r>
      <w:r w:rsidR="002140E9" w:rsidRPr="007D4DDF">
        <w:rPr>
          <w:rStyle w:val="hps"/>
          <w:szCs w:val="24"/>
        </w:rPr>
        <w:t>with three</w:t>
      </w:r>
      <w:r w:rsidR="002140E9" w:rsidRPr="007D4DDF">
        <w:rPr>
          <w:szCs w:val="24"/>
        </w:rPr>
        <w:t xml:space="preserve"> </w:t>
      </w:r>
      <w:r w:rsidR="002140E9" w:rsidRPr="007D4DDF">
        <w:rPr>
          <w:rStyle w:val="hps"/>
          <w:szCs w:val="24"/>
        </w:rPr>
        <w:t>minor children</w:t>
      </w:r>
      <w:r w:rsidR="002140E9" w:rsidRPr="007D4DDF">
        <w:rPr>
          <w:szCs w:val="24"/>
        </w:rPr>
        <w:t xml:space="preserve"> </w:t>
      </w:r>
      <w:r w:rsidR="002140E9" w:rsidRPr="007D4DDF">
        <w:rPr>
          <w:rStyle w:val="hps"/>
          <w:szCs w:val="24"/>
        </w:rPr>
        <w:t>on</w:t>
      </w:r>
      <w:r w:rsidR="002140E9" w:rsidRPr="007D4DDF">
        <w:rPr>
          <w:szCs w:val="24"/>
        </w:rPr>
        <w:t xml:space="preserve"> </w:t>
      </w:r>
      <w:r w:rsidR="002140E9" w:rsidRPr="007D4DDF">
        <w:rPr>
          <w:rStyle w:val="hps"/>
          <w:szCs w:val="24"/>
        </w:rPr>
        <w:t>the basis</w:t>
      </w:r>
      <w:r w:rsidR="002140E9" w:rsidRPr="007D4DDF">
        <w:rPr>
          <w:szCs w:val="24"/>
        </w:rPr>
        <w:t xml:space="preserve"> </w:t>
      </w:r>
      <w:r w:rsidR="002140E9" w:rsidRPr="007D4DDF">
        <w:rPr>
          <w:rStyle w:val="hps"/>
          <w:szCs w:val="24"/>
        </w:rPr>
        <w:t xml:space="preserve">of both the </w:t>
      </w:r>
      <w:r w:rsidR="002140E9" w:rsidRPr="007D4DDF">
        <w:rPr>
          <w:szCs w:val="24"/>
        </w:rPr>
        <w:t>Convention on the Rights of the Child of 20 November 1989,</w:t>
      </w:r>
      <w:r w:rsidR="0013395A" w:rsidRPr="007D4DDF">
        <w:rPr>
          <w:szCs w:val="24"/>
        </w:rPr>
        <w:t xml:space="preserve"> </w:t>
      </w:r>
      <w:r w:rsidR="002140E9" w:rsidRPr="007D4DDF">
        <w:rPr>
          <w:rStyle w:val="hps"/>
          <w:szCs w:val="24"/>
        </w:rPr>
        <w:t>and</w:t>
      </w:r>
      <w:r w:rsidR="002140E9" w:rsidRPr="007D4DDF">
        <w:rPr>
          <w:szCs w:val="24"/>
        </w:rPr>
        <w:t xml:space="preserve"> </w:t>
      </w:r>
      <w:r w:rsidR="002140E9" w:rsidRPr="007D4DDF">
        <w:rPr>
          <w:rStyle w:val="hps"/>
          <w:szCs w:val="24"/>
        </w:rPr>
        <w:t>the relationship</w:t>
      </w:r>
      <w:r w:rsidR="002140E9" w:rsidRPr="007D4DDF">
        <w:rPr>
          <w:szCs w:val="24"/>
        </w:rPr>
        <w:t xml:space="preserve"> </w:t>
      </w:r>
      <w:r w:rsidR="002140E9" w:rsidRPr="007D4DDF">
        <w:rPr>
          <w:rStyle w:val="hps"/>
          <w:szCs w:val="24"/>
        </w:rPr>
        <w:t>between the right</w:t>
      </w:r>
      <w:r w:rsidR="002140E9" w:rsidRPr="007D4DDF">
        <w:rPr>
          <w:szCs w:val="24"/>
        </w:rPr>
        <w:t xml:space="preserve"> </w:t>
      </w:r>
      <w:r w:rsidR="002140E9" w:rsidRPr="007D4DDF">
        <w:rPr>
          <w:rStyle w:val="hps"/>
          <w:szCs w:val="24"/>
        </w:rPr>
        <w:t>to housing</w:t>
      </w:r>
      <w:r w:rsidR="002140E9" w:rsidRPr="007D4DDF">
        <w:rPr>
          <w:szCs w:val="24"/>
        </w:rPr>
        <w:t xml:space="preserve"> </w:t>
      </w:r>
      <w:r w:rsidR="002140E9" w:rsidRPr="007D4DDF">
        <w:rPr>
          <w:rStyle w:val="hps"/>
          <w:szCs w:val="24"/>
        </w:rPr>
        <w:t>and other</w:t>
      </w:r>
      <w:r w:rsidR="002140E9" w:rsidRPr="007D4DDF">
        <w:rPr>
          <w:szCs w:val="24"/>
        </w:rPr>
        <w:t xml:space="preserve"> </w:t>
      </w:r>
      <w:r w:rsidR="002140E9" w:rsidRPr="007D4DDF">
        <w:rPr>
          <w:rStyle w:val="hps"/>
          <w:szCs w:val="24"/>
        </w:rPr>
        <w:t>constitutional rights enshrined in the Spanish Constitution such as</w:t>
      </w:r>
      <w:r w:rsidR="002140E9" w:rsidRPr="007D4DDF">
        <w:rPr>
          <w:szCs w:val="24"/>
        </w:rPr>
        <w:t xml:space="preserve"> the</w:t>
      </w:r>
      <w:r w:rsidR="009360EC" w:rsidRPr="007D4DDF">
        <w:rPr>
          <w:szCs w:val="24"/>
        </w:rPr>
        <w:t xml:space="preserve"> right to</w:t>
      </w:r>
      <w:r w:rsidR="002140E9" w:rsidRPr="007D4DDF">
        <w:rPr>
          <w:szCs w:val="24"/>
        </w:rPr>
        <w:t xml:space="preserve"> </w:t>
      </w:r>
      <w:r w:rsidR="002140E9" w:rsidRPr="007D4DDF">
        <w:rPr>
          <w:rStyle w:val="hps"/>
          <w:szCs w:val="24"/>
        </w:rPr>
        <w:t>personal and family privacy (Art</w:t>
      </w:r>
      <w:r w:rsidR="0013395A" w:rsidRPr="007D4DDF">
        <w:rPr>
          <w:rStyle w:val="hps"/>
          <w:szCs w:val="24"/>
        </w:rPr>
        <w:t>icle</w:t>
      </w:r>
      <w:r w:rsidR="002140E9" w:rsidRPr="007D4DDF">
        <w:rPr>
          <w:rStyle w:val="hps"/>
          <w:szCs w:val="24"/>
        </w:rPr>
        <w:t xml:space="preserve"> 18.</w:t>
      </w:r>
      <w:r w:rsidR="009360EC" w:rsidRPr="007D4DDF">
        <w:rPr>
          <w:rStyle w:val="hps"/>
          <w:szCs w:val="24"/>
        </w:rPr>
        <w:t>1</w:t>
      </w:r>
      <w:r w:rsidR="002140E9" w:rsidRPr="007D4DDF">
        <w:rPr>
          <w:rStyle w:val="hps"/>
          <w:szCs w:val="24"/>
        </w:rPr>
        <w:t>)</w:t>
      </w:r>
      <w:r w:rsidR="002140E9" w:rsidRPr="007D4DDF">
        <w:rPr>
          <w:szCs w:val="24"/>
        </w:rPr>
        <w:t xml:space="preserve">, the freedom of </w:t>
      </w:r>
      <w:r w:rsidR="002140E9" w:rsidRPr="007D4DDF">
        <w:rPr>
          <w:rStyle w:val="hps"/>
          <w:szCs w:val="24"/>
        </w:rPr>
        <w:t>residence (</w:t>
      </w:r>
      <w:r w:rsidR="0013395A" w:rsidRPr="007D4DDF">
        <w:rPr>
          <w:szCs w:val="24"/>
        </w:rPr>
        <w:t>A</w:t>
      </w:r>
      <w:r w:rsidR="002140E9" w:rsidRPr="007D4DDF">
        <w:rPr>
          <w:szCs w:val="24"/>
        </w:rPr>
        <w:t>rt</w:t>
      </w:r>
      <w:r w:rsidR="0013395A" w:rsidRPr="007D4DDF">
        <w:rPr>
          <w:szCs w:val="24"/>
        </w:rPr>
        <w:t>icle</w:t>
      </w:r>
      <w:r w:rsidR="002140E9" w:rsidRPr="007D4DDF">
        <w:rPr>
          <w:szCs w:val="24"/>
        </w:rPr>
        <w:t xml:space="preserve"> </w:t>
      </w:r>
      <w:r w:rsidR="002140E9" w:rsidRPr="007D4DDF">
        <w:rPr>
          <w:rStyle w:val="hps"/>
          <w:szCs w:val="24"/>
        </w:rPr>
        <w:t>19</w:t>
      </w:r>
      <w:r w:rsidR="002140E9" w:rsidRPr="007D4DDF">
        <w:rPr>
          <w:szCs w:val="24"/>
        </w:rPr>
        <w:t xml:space="preserve">), the right </w:t>
      </w:r>
      <w:r w:rsidR="002140E9" w:rsidRPr="007D4DDF">
        <w:rPr>
          <w:rStyle w:val="hps"/>
          <w:szCs w:val="24"/>
        </w:rPr>
        <w:t>to education</w:t>
      </w:r>
      <w:r w:rsidR="002140E9" w:rsidRPr="007D4DDF">
        <w:rPr>
          <w:szCs w:val="24"/>
        </w:rPr>
        <w:t xml:space="preserve"> </w:t>
      </w:r>
      <w:r w:rsidR="002140E9" w:rsidRPr="007D4DDF">
        <w:rPr>
          <w:rStyle w:val="hps"/>
          <w:szCs w:val="24"/>
        </w:rPr>
        <w:t>(</w:t>
      </w:r>
      <w:r w:rsidR="002140E9" w:rsidRPr="007D4DDF">
        <w:rPr>
          <w:szCs w:val="24"/>
        </w:rPr>
        <w:t>Art</w:t>
      </w:r>
      <w:r w:rsidR="0013395A" w:rsidRPr="007D4DDF">
        <w:rPr>
          <w:szCs w:val="24"/>
        </w:rPr>
        <w:t xml:space="preserve">icle </w:t>
      </w:r>
      <w:r w:rsidR="002140E9" w:rsidRPr="007D4DDF">
        <w:rPr>
          <w:rStyle w:val="hps"/>
          <w:szCs w:val="24"/>
        </w:rPr>
        <w:t>27)</w:t>
      </w:r>
      <w:r w:rsidR="002140E9" w:rsidRPr="007D4DDF">
        <w:rPr>
          <w:szCs w:val="24"/>
        </w:rPr>
        <w:t xml:space="preserve"> </w:t>
      </w:r>
      <w:r w:rsidR="002140E9" w:rsidRPr="007D4DDF">
        <w:rPr>
          <w:rStyle w:val="hps"/>
          <w:szCs w:val="24"/>
        </w:rPr>
        <w:t>and</w:t>
      </w:r>
      <w:r w:rsidR="002140E9" w:rsidRPr="007D4DDF">
        <w:rPr>
          <w:szCs w:val="24"/>
        </w:rPr>
        <w:t xml:space="preserve"> </w:t>
      </w:r>
      <w:r w:rsidR="002140E9" w:rsidRPr="007D4DDF">
        <w:rPr>
          <w:rStyle w:val="hps"/>
          <w:szCs w:val="24"/>
        </w:rPr>
        <w:t>the right to</w:t>
      </w:r>
      <w:r w:rsidR="002140E9" w:rsidRPr="007D4DDF">
        <w:rPr>
          <w:szCs w:val="24"/>
        </w:rPr>
        <w:t xml:space="preserve"> </w:t>
      </w:r>
      <w:r w:rsidR="002140E9" w:rsidRPr="007D4DDF">
        <w:rPr>
          <w:rStyle w:val="hps"/>
          <w:szCs w:val="24"/>
        </w:rPr>
        <w:t>health</w:t>
      </w:r>
      <w:r w:rsidR="002140E9" w:rsidRPr="007D4DDF">
        <w:rPr>
          <w:szCs w:val="24"/>
        </w:rPr>
        <w:t xml:space="preserve"> </w:t>
      </w:r>
      <w:r w:rsidR="002140E9" w:rsidRPr="007D4DDF">
        <w:rPr>
          <w:rStyle w:val="hps"/>
          <w:szCs w:val="24"/>
        </w:rPr>
        <w:t>(Art</w:t>
      </w:r>
      <w:r w:rsidR="0013395A" w:rsidRPr="007D4DDF">
        <w:rPr>
          <w:szCs w:val="24"/>
        </w:rPr>
        <w:t>icle</w:t>
      </w:r>
      <w:r w:rsidR="002140E9" w:rsidRPr="007D4DDF">
        <w:rPr>
          <w:szCs w:val="24"/>
        </w:rPr>
        <w:t xml:space="preserve"> </w:t>
      </w:r>
      <w:r w:rsidR="002140E9" w:rsidRPr="007D4DDF">
        <w:rPr>
          <w:rStyle w:val="hps"/>
          <w:szCs w:val="24"/>
        </w:rPr>
        <w:t>45)</w:t>
      </w:r>
      <w:r w:rsidR="002140E9" w:rsidRPr="007D4DDF">
        <w:rPr>
          <w:szCs w:val="24"/>
        </w:rPr>
        <w:t xml:space="preserve">. </w:t>
      </w:r>
      <w:r w:rsidR="002140E9" w:rsidRPr="007D4DDF">
        <w:rPr>
          <w:rStyle w:val="hps"/>
          <w:szCs w:val="24"/>
        </w:rPr>
        <w:t>Moreover,</w:t>
      </w:r>
      <w:r w:rsidR="002140E9" w:rsidRPr="007D4DDF">
        <w:rPr>
          <w:szCs w:val="24"/>
        </w:rPr>
        <w:t xml:space="preserve"> </w:t>
      </w:r>
      <w:r w:rsidR="002140E9" w:rsidRPr="007D4DDF">
        <w:rPr>
          <w:rStyle w:val="hps"/>
          <w:szCs w:val="24"/>
        </w:rPr>
        <w:t>the Court</w:t>
      </w:r>
      <w:r w:rsidR="002140E9" w:rsidRPr="007D4DDF">
        <w:rPr>
          <w:szCs w:val="24"/>
        </w:rPr>
        <w:t xml:space="preserve">, taking as a starting point the </w:t>
      </w:r>
      <w:r w:rsidR="002140E9" w:rsidRPr="007D4DDF">
        <w:rPr>
          <w:rStyle w:val="Emphasis"/>
          <w:i w:val="0"/>
          <w:szCs w:val="24"/>
        </w:rPr>
        <w:t>case</w:t>
      </w:r>
      <w:r w:rsidR="002140E9" w:rsidRPr="007D4DDF">
        <w:rPr>
          <w:rStyle w:val="Emphasis"/>
          <w:szCs w:val="24"/>
        </w:rPr>
        <w:t xml:space="preserve"> </w:t>
      </w:r>
      <w:r w:rsidR="001E5A68" w:rsidRPr="007D4DDF">
        <w:rPr>
          <w:rStyle w:val="Emphasis"/>
          <w:szCs w:val="24"/>
        </w:rPr>
        <w:t>AM</w:t>
      </w:r>
      <w:r w:rsidR="002140E9" w:rsidRPr="007D4DDF">
        <w:rPr>
          <w:rStyle w:val="Emphasis"/>
          <w:szCs w:val="24"/>
        </w:rPr>
        <w:t>B.</w:t>
      </w:r>
      <w:r w:rsidR="002140E9" w:rsidRPr="007D4DDF">
        <w:rPr>
          <w:rStyle w:val="st"/>
          <w:szCs w:val="24"/>
        </w:rPr>
        <w:t xml:space="preserve"> </w:t>
      </w:r>
      <w:r w:rsidR="001E5A68" w:rsidRPr="007D4DDF">
        <w:rPr>
          <w:rStyle w:val="st"/>
          <w:szCs w:val="24"/>
        </w:rPr>
        <w:t xml:space="preserve">v </w:t>
      </w:r>
      <w:r w:rsidR="001E5A68" w:rsidRPr="007D4DDF">
        <w:rPr>
          <w:rStyle w:val="st"/>
          <w:i/>
          <w:szCs w:val="24"/>
        </w:rPr>
        <w:t>Spain</w:t>
      </w:r>
      <w:r w:rsidR="0013395A" w:rsidRPr="007D4DDF">
        <w:rPr>
          <w:rStyle w:val="st"/>
          <w:szCs w:val="24"/>
        </w:rPr>
        <w:t>,</w:t>
      </w:r>
      <w:r w:rsidR="001E5A68" w:rsidRPr="007D4DDF">
        <w:rPr>
          <w:rStyle w:val="FootnoteReference"/>
          <w:szCs w:val="24"/>
        </w:rPr>
        <w:footnoteReference w:id="144"/>
      </w:r>
      <w:r w:rsidR="002140E9" w:rsidRPr="007D4DDF">
        <w:rPr>
          <w:rStyle w:val="hps"/>
          <w:szCs w:val="24"/>
        </w:rPr>
        <w:t xml:space="preserve"> required the local authority</w:t>
      </w:r>
      <w:r w:rsidR="002140E9" w:rsidRPr="007D4DDF">
        <w:rPr>
          <w:szCs w:val="24"/>
        </w:rPr>
        <w:t xml:space="preserve"> </w:t>
      </w:r>
      <w:r w:rsidR="002140E9" w:rsidRPr="007D4DDF">
        <w:rPr>
          <w:rStyle w:val="hps"/>
          <w:szCs w:val="24"/>
        </w:rPr>
        <w:t>to take concrete</w:t>
      </w:r>
      <w:r w:rsidR="002140E9" w:rsidRPr="007D4DDF">
        <w:rPr>
          <w:szCs w:val="24"/>
        </w:rPr>
        <w:t xml:space="preserve"> </w:t>
      </w:r>
      <w:r w:rsidR="002140E9" w:rsidRPr="007D4DDF">
        <w:rPr>
          <w:rStyle w:val="hps"/>
          <w:szCs w:val="24"/>
        </w:rPr>
        <w:t>measures to</w:t>
      </w:r>
      <w:r w:rsidR="002140E9" w:rsidRPr="007D4DDF">
        <w:rPr>
          <w:szCs w:val="24"/>
        </w:rPr>
        <w:t xml:space="preserve"> </w:t>
      </w:r>
      <w:r w:rsidR="002140E9" w:rsidRPr="007D4DDF">
        <w:rPr>
          <w:rStyle w:val="hps"/>
          <w:szCs w:val="24"/>
        </w:rPr>
        <w:t>guarantee the right of</w:t>
      </w:r>
      <w:r w:rsidR="002140E9" w:rsidRPr="007D4DDF">
        <w:rPr>
          <w:szCs w:val="24"/>
        </w:rPr>
        <w:t xml:space="preserve"> </w:t>
      </w:r>
      <w:r w:rsidR="002140E9" w:rsidRPr="007D4DDF">
        <w:rPr>
          <w:rStyle w:val="hps"/>
          <w:szCs w:val="24"/>
        </w:rPr>
        <w:t>the children</w:t>
      </w:r>
      <w:r w:rsidR="002140E9" w:rsidRPr="007D4DDF">
        <w:rPr>
          <w:szCs w:val="24"/>
        </w:rPr>
        <w:t xml:space="preserve"> </w:t>
      </w:r>
      <w:r w:rsidR="002140E9" w:rsidRPr="007D4DDF">
        <w:rPr>
          <w:rStyle w:val="hps"/>
          <w:szCs w:val="24"/>
        </w:rPr>
        <w:t>to adequate housing</w:t>
      </w:r>
      <w:r w:rsidR="001E5A68" w:rsidRPr="007D4DDF">
        <w:rPr>
          <w:rStyle w:val="hps"/>
          <w:szCs w:val="24"/>
        </w:rPr>
        <w:t>. T</w:t>
      </w:r>
      <w:r w:rsidR="002140E9" w:rsidRPr="007D4DDF">
        <w:rPr>
          <w:szCs w:val="24"/>
        </w:rPr>
        <w:t>he court made reference to Art</w:t>
      </w:r>
      <w:r w:rsidR="0013395A" w:rsidRPr="007D4DDF">
        <w:rPr>
          <w:szCs w:val="24"/>
        </w:rPr>
        <w:t>icle</w:t>
      </w:r>
      <w:r w:rsidR="002140E9" w:rsidRPr="007D4DDF">
        <w:rPr>
          <w:szCs w:val="24"/>
        </w:rPr>
        <w:t xml:space="preserve"> 8 ECHR and other </w:t>
      </w:r>
      <w:r w:rsidR="00A436FF" w:rsidRPr="007D4DDF">
        <w:rPr>
          <w:szCs w:val="24"/>
        </w:rPr>
        <w:t>i</w:t>
      </w:r>
      <w:r w:rsidR="002140E9" w:rsidRPr="007D4DDF">
        <w:rPr>
          <w:szCs w:val="24"/>
        </w:rPr>
        <w:t xml:space="preserve">nternational </w:t>
      </w:r>
      <w:r w:rsidR="00A436FF" w:rsidRPr="007D4DDF">
        <w:rPr>
          <w:szCs w:val="24"/>
        </w:rPr>
        <w:t>t</w:t>
      </w:r>
      <w:r w:rsidR="002140E9" w:rsidRPr="007D4DDF">
        <w:rPr>
          <w:szCs w:val="24"/>
        </w:rPr>
        <w:t>reaties concerning the protection of children that have been ratified by Spain</w:t>
      </w:r>
      <w:r w:rsidR="001E5A68" w:rsidRPr="007D4DDF">
        <w:rPr>
          <w:szCs w:val="24"/>
        </w:rPr>
        <w:t>.</w:t>
      </w:r>
      <w:r w:rsidR="002140E9" w:rsidRPr="007D4DDF">
        <w:rPr>
          <w:rStyle w:val="FootnoteReference"/>
          <w:szCs w:val="24"/>
        </w:rPr>
        <w:footnoteReference w:id="145"/>
      </w:r>
      <w:r w:rsidR="001E5A68" w:rsidRPr="007D4DDF">
        <w:rPr>
          <w:rStyle w:val="hps"/>
          <w:szCs w:val="24"/>
        </w:rPr>
        <w:t xml:space="preserve"> </w:t>
      </w:r>
      <w:r w:rsidR="002140E9" w:rsidRPr="007D4DDF">
        <w:rPr>
          <w:szCs w:val="24"/>
        </w:rPr>
        <w:t>More recently, the decision of the Spanish Supreme Court 23 December 2017</w:t>
      </w:r>
      <w:r w:rsidR="0013395A" w:rsidRPr="007D4DDF">
        <w:rPr>
          <w:szCs w:val="24"/>
        </w:rPr>
        <w:t>,</w:t>
      </w:r>
      <w:r w:rsidR="001E5A68" w:rsidRPr="007D4DDF">
        <w:rPr>
          <w:szCs w:val="24"/>
        </w:rPr>
        <w:t xml:space="preserve"> held that the </w:t>
      </w:r>
      <w:r w:rsidR="00BB2599" w:rsidRPr="007D4DDF">
        <w:rPr>
          <w:szCs w:val="24"/>
        </w:rPr>
        <w:t>C</w:t>
      </w:r>
      <w:r w:rsidR="001E5A68" w:rsidRPr="007D4DDF">
        <w:rPr>
          <w:szCs w:val="24"/>
        </w:rPr>
        <w:t xml:space="preserve">ourt must consider the Convention on the Rights of the Child where the local authority </w:t>
      </w:r>
      <w:proofErr w:type="gramStart"/>
      <w:r w:rsidR="001E5A68" w:rsidRPr="007D4DDF">
        <w:rPr>
          <w:szCs w:val="24"/>
        </w:rPr>
        <w:t>were</w:t>
      </w:r>
      <w:proofErr w:type="gramEnd"/>
      <w:r w:rsidR="001E5A68" w:rsidRPr="007D4DDF">
        <w:rPr>
          <w:szCs w:val="24"/>
        </w:rPr>
        <w:t xml:space="preserve"> seeking possession of housing, even if illegally occupied, where </w:t>
      </w:r>
      <w:r w:rsidR="002140E9" w:rsidRPr="007D4DDF">
        <w:rPr>
          <w:szCs w:val="24"/>
        </w:rPr>
        <w:t>minors may be affected by the e</w:t>
      </w:r>
      <w:r w:rsidR="001E5A68" w:rsidRPr="007D4DDF">
        <w:rPr>
          <w:szCs w:val="24"/>
        </w:rPr>
        <w:t>xecution of the eviction order.</w:t>
      </w:r>
      <w:r w:rsidR="001E5A68" w:rsidRPr="007D4DDF">
        <w:rPr>
          <w:rStyle w:val="FootnoteReference"/>
          <w:szCs w:val="24"/>
        </w:rPr>
        <w:footnoteReference w:id="146"/>
      </w:r>
    </w:p>
    <w:p w14:paraId="3CF1A64B" w14:textId="77777777" w:rsidR="001A4592" w:rsidRPr="007D4DDF" w:rsidRDefault="002820CB" w:rsidP="00777703">
      <w:pPr>
        <w:spacing w:before="0" w:after="120" w:line="240" w:lineRule="auto"/>
        <w:rPr>
          <w:szCs w:val="24"/>
        </w:rPr>
      </w:pPr>
      <w:r w:rsidRPr="007D4DDF">
        <w:rPr>
          <w:szCs w:val="24"/>
        </w:rPr>
        <w:t>The Constitution of the Netherlands</w:t>
      </w:r>
      <w:r w:rsidRPr="007D4DDF">
        <w:rPr>
          <w:i/>
          <w:szCs w:val="24"/>
        </w:rPr>
        <w:t xml:space="preserve"> </w:t>
      </w:r>
      <w:r w:rsidRPr="007D4DDF">
        <w:rPr>
          <w:szCs w:val="24"/>
        </w:rPr>
        <w:t xml:space="preserve">does not contain a right to housing, but courts draw on Article 8 ECHR as well as </w:t>
      </w:r>
      <w:r w:rsidR="00697731" w:rsidRPr="007D4DDF">
        <w:rPr>
          <w:szCs w:val="24"/>
        </w:rPr>
        <w:t xml:space="preserve">on </w:t>
      </w:r>
      <w:r w:rsidRPr="007D4DDF">
        <w:rPr>
          <w:szCs w:val="24"/>
        </w:rPr>
        <w:t>Article 12 of the Constitution on the inviolability of the home. Article 8 ECHR requires that any interference with the respect for home, such as an eviction, must be approved by a court</w:t>
      </w:r>
      <w:r w:rsidR="007A7839">
        <w:rPr>
          <w:szCs w:val="24"/>
        </w:rPr>
        <w:t>,</w:t>
      </w:r>
      <w:r w:rsidRPr="007D4DDF">
        <w:rPr>
          <w:szCs w:val="24"/>
        </w:rPr>
        <w:t xml:space="preserve"> and the principle of proportionality applied. Michel Vols points out that although these substantive and procedural protections can lead to a dismissal of the action, or a suspension of the order of eviction, this does not happen very often, and most </w:t>
      </w:r>
      <w:r w:rsidR="007A7839">
        <w:rPr>
          <w:szCs w:val="24"/>
        </w:rPr>
        <w:t xml:space="preserve">eviction actions </w:t>
      </w:r>
      <w:r w:rsidRPr="007D4DDF">
        <w:rPr>
          <w:szCs w:val="24"/>
        </w:rPr>
        <w:t>are approved by courts.</w:t>
      </w:r>
    </w:p>
    <w:p w14:paraId="1D856E14" w14:textId="19D32CC5" w:rsidR="001A4592" w:rsidRDefault="002820CB" w:rsidP="00777703">
      <w:pPr>
        <w:spacing w:before="0" w:after="120" w:line="240" w:lineRule="auto"/>
        <w:rPr>
          <w:szCs w:val="24"/>
        </w:rPr>
      </w:pPr>
      <w:r w:rsidRPr="007D4DDF">
        <w:rPr>
          <w:szCs w:val="24"/>
        </w:rPr>
        <w:t xml:space="preserve">In the UK, as Caroline Hunter and Nicholas </w:t>
      </w:r>
      <w:proofErr w:type="spellStart"/>
      <w:r w:rsidRPr="007D4DDF">
        <w:rPr>
          <w:szCs w:val="24"/>
        </w:rPr>
        <w:t>Pleace</w:t>
      </w:r>
      <w:proofErr w:type="spellEnd"/>
      <w:r w:rsidR="00BD6722" w:rsidRPr="007D4DDF">
        <w:rPr>
          <w:szCs w:val="24"/>
        </w:rPr>
        <w:t xml:space="preserve"> specify</w:t>
      </w:r>
      <w:r w:rsidRPr="007D4DDF">
        <w:rPr>
          <w:szCs w:val="24"/>
        </w:rPr>
        <w:t xml:space="preserve">, there is no written constitution, and no universal right to housing. However, legislation provides something </w:t>
      </w:r>
      <w:r w:rsidR="00965C0B" w:rsidRPr="007D4DDF">
        <w:rPr>
          <w:szCs w:val="24"/>
        </w:rPr>
        <w:t xml:space="preserve">quite </w:t>
      </w:r>
      <w:r w:rsidRPr="007D4DDF">
        <w:rPr>
          <w:szCs w:val="24"/>
        </w:rPr>
        <w:t xml:space="preserve">close to this, with statutory obligations on local authorities to provide temporary accommodation for specific categories of homeless people who are in </w:t>
      </w:r>
      <w:r w:rsidRPr="007D4DDF">
        <w:rPr>
          <w:szCs w:val="24"/>
        </w:rPr>
        <w:lastRenderedPageBreak/>
        <w:t>priority need, are not intentionally homeless, and who have a local connection. Scottish local authorities have statutory obligations to provide permanent accommodation to a wider group of homeless people.</w:t>
      </w:r>
    </w:p>
    <w:p w14:paraId="556938CA" w14:textId="77777777" w:rsidR="006E160F" w:rsidRPr="007D4DDF" w:rsidRDefault="006E160F" w:rsidP="00777703">
      <w:pPr>
        <w:spacing w:before="0" w:after="120" w:line="240" w:lineRule="auto"/>
        <w:rPr>
          <w:szCs w:val="24"/>
        </w:rPr>
      </w:pPr>
    </w:p>
    <w:p w14:paraId="22DCBF26" w14:textId="339D71CF" w:rsidR="001A4592" w:rsidRPr="007D4DDF" w:rsidRDefault="00D81F35" w:rsidP="008B1CB3">
      <w:pPr>
        <w:pStyle w:val="Heading2"/>
        <w:spacing w:before="0" w:after="120" w:line="240" w:lineRule="auto"/>
        <w:rPr>
          <w:rFonts w:ascii="Times New Roman" w:hAnsi="Times New Roman"/>
        </w:rPr>
      </w:pPr>
      <w:bookmarkStart w:id="16" w:name="_Toc508191204"/>
      <w:r w:rsidRPr="007D4DDF">
        <w:rPr>
          <w:rFonts w:ascii="Times New Roman" w:hAnsi="Times New Roman"/>
        </w:rPr>
        <w:t>4.6</w:t>
      </w:r>
      <w:r w:rsidR="006E160F">
        <w:rPr>
          <w:rFonts w:ascii="Times New Roman" w:hAnsi="Times New Roman"/>
        </w:rPr>
        <w:t>.</w:t>
      </w:r>
      <w:r w:rsidR="008331E6">
        <w:rPr>
          <w:rFonts w:ascii="Times New Roman" w:hAnsi="Times New Roman"/>
        </w:rPr>
        <w:t xml:space="preserve"> </w:t>
      </w:r>
      <w:r w:rsidR="002820CB" w:rsidRPr="007D4DDF">
        <w:rPr>
          <w:rFonts w:ascii="Times New Roman" w:hAnsi="Times New Roman"/>
        </w:rPr>
        <w:t xml:space="preserve">Law </w:t>
      </w:r>
      <w:r w:rsidRPr="007D4DDF">
        <w:rPr>
          <w:rFonts w:ascii="Times New Roman" w:hAnsi="Times New Roman"/>
        </w:rPr>
        <w:t>R</w:t>
      </w:r>
      <w:r w:rsidR="002820CB" w:rsidRPr="007D4DDF">
        <w:rPr>
          <w:rFonts w:ascii="Times New Roman" w:hAnsi="Times New Roman"/>
        </w:rPr>
        <w:t xml:space="preserve">elating to </w:t>
      </w:r>
      <w:r w:rsidRPr="007D4DDF">
        <w:rPr>
          <w:rFonts w:ascii="Times New Roman" w:hAnsi="Times New Roman"/>
        </w:rPr>
        <w:t>O</w:t>
      </w:r>
      <w:r w:rsidR="002820CB" w:rsidRPr="007D4DDF">
        <w:rPr>
          <w:rFonts w:ascii="Times New Roman" w:hAnsi="Times New Roman"/>
        </w:rPr>
        <w:t>wner-</w:t>
      </w:r>
      <w:r w:rsidR="006E3CFB" w:rsidRPr="007D4DDF">
        <w:rPr>
          <w:rFonts w:ascii="Times New Roman" w:hAnsi="Times New Roman"/>
        </w:rPr>
        <w:t>O</w:t>
      </w:r>
      <w:r w:rsidR="002820CB" w:rsidRPr="007D4DDF">
        <w:rPr>
          <w:rFonts w:ascii="Times New Roman" w:hAnsi="Times New Roman"/>
        </w:rPr>
        <w:t>ccupation</w:t>
      </w:r>
      <w:bookmarkEnd w:id="16"/>
    </w:p>
    <w:p w14:paraId="099DCC08" w14:textId="77777777" w:rsidR="001A4592" w:rsidRPr="007D4DDF" w:rsidRDefault="002820CB" w:rsidP="00395E14">
      <w:pPr>
        <w:spacing w:before="0" w:after="120" w:line="240" w:lineRule="auto"/>
        <w:rPr>
          <w:szCs w:val="24"/>
        </w:rPr>
      </w:pPr>
      <w:r w:rsidRPr="007D4DDF">
        <w:rPr>
          <w:szCs w:val="24"/>
        </w:rPr>
        <w:t>There is a significant difference in the process of possession and eviction in mortgage arrears between the civil law and common law countries (the latter being Ireland and the UK). Civil law systems usually enable a lender</w:t>
      </w:r>
      <w:r w:rsidR="00697731" w:rsidRPr="007D4DDF">
        <w:rPr>
          <w:szCs w:val="24"/>
        </w:rPr>
        <w:t>,</w:t>
      </w:r>
      <w:r w:rsidRPr="007D4DDF">
        <w:rPr>
          <w:szCs w:val="24"/>
        </w:rPr>
        <w:t xml:space="preserve"> after a period of arrears,</w:t>
      </w:r>
      <w:r w:rsidRPr="007D4DDF">
        <w:rPr>
          <w:rStyle w:val="FootnoteReference"/>
          <w:szCs w:val="24"/>
        </w:rPr>
        <w:footnoteReference w:id="147"/>
      </w:r>
      <w:r w:rsidRPr="007D4DDF">
        <w:rPr>
          <w:szCs w:val="24"/>
        </w:rPr>
        <w:t xml:space="preserve"> to engage the legal system, a notary or a bailiff, who then arranges for a forced sale (where no agreement has been reached with the debtor). The new purchaser then uses the resources of the legal system to evict the former owner. There are various discretions and appeals within the court process, such as </w:t>
      </w:r>
      <w:r w:rsidR="00697731" w:rsidRPr="007D4DDF">
        <w:rPr>
          <w:szCs w:val="24"/>
        </w:rPr>
        <w:t>24-</w:t>
      </w:r>
      <w:r w:rsidRPr="007D4DDF">
        <w:rPr>
          <w:szCs w:val="24"/>
        </w:rPr>
        <w:t>month suspension in France to enable a payment plan.</w:t>
      </w:r>
      <w:r w:rsidRPr="007D4DDF">
        <w:rPr>
          <w:rStyle w:val="FootnoteReference"/>
          <w:szCs w:val="24"/>
        </w:rPr>
        <w:footnoteReference w:id="148"/>
      </w:r>
      <w:r w:rsidRPr="007D4DDF">
        <w:rPr>
          <w:szCs w:val="24"/>
        </w:rPr>
        <w:t xml:space="preserve"> In Germany, w</w:t>
      </w:r>
      <w:r w:rsidRPr="007D4DDF">
        <w:rPr>
          <w:bCs/>
          <w:color w:val="212121"/>
          <w:szCs w:val="24"/>
        </w:rPr>
        <w:t xml:space="preserve">here a </w:t>
      </w:r>
      <w:r w:rsidRPr="007D4DDF">
        <w:rPr>
          <w:bCs/>
          <w:color w:val="000000"/>
          <w:szCs w:val="24"/>
        </w:rPr>
        <w:t xml:space="preserve">court responsible for the execution of the eviction finds that the eviction entails </w:t>
      </w:r>
      <w:r w:rsidR="00970D77" w:rsidRPr="007D4DDF">
        <w:rPr>
          <w:bCs/>
          <w:color w:val="000000"/>
          <w:szCs w:val="24"/>
        </w:rPr>
        <w:t>‘</w:t>
      </w:r>
      <w:r w:rsidRPr="007D4DDF">
        <w:rPr>
          <w:bCs/>
          <w:color w:val="000000"/>
          <w:szCs w:val="24"/>
        </w:rPr>
        <w:t>a hardship that due to very special circumstances is immoral (</w:t>
      </w:r>
      <w:r w:rsidRPr="007D4DDF">
        <w:rPr>
          <w:bCs/>
          <w:i/>
          <w:color w:val="000000"/>
          <w:szCs w:val="24"/>
        </w:rPr>
        <w:t xml:space="preserve">contra </w:t>
      </w:r>
      <w:proofErr w:type="spellStart"/>
      <w:r w:rsidRPr="007D4DDF">
        <w:rPr>
          <w:bCs/>
          <w:i/>
          <w:color w:val="000000"/>
          <w:szCs w:val="24"/>
        </w:rPr>
        <w:t>bonos</w:t>
      </w:r>
      <w:proofErr w:type="spellEnd"/>
      <w:r w:rsidRPr="007D4DDF">
        <w:rPr>
          <w:bCs/>
          <w:color w:val="000000"/>
          <w:szCs w:val="24"/>
        </w:rPr>
        <w:t>)</w:t>
      </w:r>
      <w:r w:rsidR="00970D77" w:rsidRPr="007D4DDF">
        <w:rPr>
          <w:bCs/>
          <w:color w:val="212121"/>
          <w:szCs w:val="24"/>
        </w:rPr>
        <w:t>’</w:t>
      </w:r>
      <w:r w:rsidR="00D94EE2" w:rsidRPr="007D4DDF">
        <w:rPr>
          <w:bCs/>
          <w:color w:val="212121"/>
          <w:szCs w:val="24"/>
        </w:rPr>
        <w:t>,</w:t>
      </w:r>
      <w:r w:rsidRPr="007D4DDF">
        <w:rPr>
          <w:bCs/>
          <w:color w:val="212121"/>
          <w:szCs w:val="24"/>
        </w:rPr>
        <w:t xml:space="preserve"> it is entitled to reverse, prohibit or temporarily stay the enforcement of the eviction.</w:t>
      </w:r>
      <w:r w:rsidRPr="007D4DDF">
        <w:rPr>
          <w:rStyle w:val="Funotenzeichen3"/>
          <w:bCs/>
          <w:color w:val="212121"/>
          <w:szCs w:val="24"/>
        </w:rPr>
        <w:footnoteReference w:id="149"/>
      </w:r>
      <w:r w:rsidRPr="007D4DDF">
        <w:rPr>
          <w:rStyle w:val="Funotenzeichen3"/>
          <w:bCs/>
          <w:color w:val="212121"/>
          <w:szCs w:val="24"/>
        </w:rPr>
        <w:t xml:space="preserve"> </w:t>
      </w:r>
      <w:r w:rsidRPr="007D4DDF">
        <w:rPr>
          <w:bCs/>
          <w:color w:val="212121"/>
          <w:szCs w:val="24"/>
        </w:rPr>
        <w:t xml:space="preserve">Since 2016 and the transposition of the </w:t>
      </w:r>
      <w:r w:rsidR="006771D4" w:rsidRPr="007D4DDF">
        <w:rPr>
          <w:bCs/>
          <w:color w:val="212121"/>
          <w:szCs w:val="24"/>
        </w:rPr>
        <w:t>M</w:t>
      </w:r>
      <w:r w:rsidRPr="007D4DDF">
        <w:rPr>
          <w:bCs/>
          <w:color w:val="212121"/>
          <w:szCs w:val="24"/>
        </w:rPr>
        <w:t xml:space="preserve">ortgage </w:t>
      </w:r>
      <w:r w:rsidR="006771D4" w:rsidRPr="007D4DDF">
        <w:rPr>
          <w:bCs/>
          <w:color w:val="212121"/>
          <w:szCs w:val="24"/>
        </w:rPr>
        <w:t>C</w:t>
      </w:r>
      <w:r w:rsidRPr="007D4DDF">
        <w:rPr>
          <w:bCs/>
          <w:color w:val="212121"/>
          <w:szCs w:val="24"/>
        </w:rPr>
        <w:t xml:space="preserve">redit </w:t>
      </w:r>
      <w:r w:rsidR="006771D4" w:rsidRPr="007D4DDF">
        <w:rPr>
          <w:bCs/>
          <w:color w:val="212121"/>
          <w:szCs w:val="24"/>
        </w:rPr>
        <w:t>D</w:t>
      </w:r>
      <w:r w:rsidRPr="007D4DDF">
        <w:rPr>
          <w:bCs/>
          <w:color w:val="212121"/>
          <w:szCs w:val="24"/>
        </w:rPr>
        <w:t>irective,</w:t>
      </w:r>
      <w:r w:rsidRPr="007D4DDF">
        <w:rPr>
          <w:rStyle w:val="Funotenzeichen3"/>
          <w:bCs/>
          <w:color w:val="212121"/>
          <w:szCs w:val="24"/>
        </w:rPr>
        <w:t xml:space="preserve"> </w:t>
      </w:r>
      <w:r w:rsidRPr="007D4DDF">
        <w:rPr>
          <w:szCs w:val="24"/>
        </w:rPr>
        <w:t>under Dutch law</w:t>
      </w:r>
      <w:r w:rsidR="00511486" w:rsidRPr="007D4DDF">
        <w:rPr>
          <w:szCs w:val="24"/>
        </w:rPr>
        <w:t>,</w:t>
      </w:r>
      <w:r w:rsidRPr="007D4DDF">
        <w:rPr>
          <w:szCs w:val="24"/>
        </w:rPr>
        <w:t xml:space="preserve"> </w:t>
      </w:r>
      <w:r w:rsidR="00BD6722" w:rsidRPr="007D4DDF">
        <w:rPr>
          <w:szCs w:val="24"/>
        </w:rPr>
        <w:t>the mortgagee is no longer able</w:t>
      </w:r>
      <w:r w:rsidRPr="007D4DDF">
        <w:rPr>
          <w:szCs w:val="24"/>
        </w:rPr>
        <w:t xml:space="preserve"> to sell the mortgaged property in default without a court order, although there were some 4</w:t>
      </w:r>
      <w:r w:rsidR="00E21B45" w:rsidRPr="007D4DDF">
        <w:rPr>
          <w:szCs w:val="24"/>
        </w:rPr>
        <w:t xml:space="preserve"> </w:t>
      </w:r>
      <w:r w:rsidR="007A7839">
        <w:rPr>
          <w:szCs w:val="24"/>
        </w:rPr>
        <w:t>5</w:t>
      </w:r>
      <w:r w:rsidRPr="007D4DDF">
        <w:rPr>
          <w:szCs w:val="24"/>
        </w:rPr>
        <w:t xml:space="preserve">00 forced sales by the </w:t>
      </w:r>
      <w:r w:rsidR="008067ED" w:rsidRPr="007D4DDF">
        <w:rPr>
          <w:szCs w:val="24"/>
        </w:rPr>
        <w:t>National Mortgage Guarantee Scheme (NHG</w:t>
      </w:r>
      <w:r w:rsidRPr="007D4DDF">
        <w:rPr>
          <w:szCs w:val="24"/>
        </w:rPr>
        <w:t>S</w:t>
      </w:r>
      <w:r w:rsidR="008067ED" w:rsidRPr="007D4DDF">
        <w:rPr>
          <w:szCs w:val="24"/>
        </w:rPr>
        <w:t>)</w:t>
      </w:r>
      <w:r w:rsidRPr="007D4DDF">
        <w:rPr>
          <w:szCs w:val="24"/>
        </w:rPr>
        <w:t xml:space="preserve"> in 2015. In Spain, enforcement of the security on a mortgage involves a civil procedure, with the possibility of a forced auction. The case of </w:t>
      </w:r>
      <w:r w:rsidRPr="007D4DDF">
        <w:rPr>
          <w:i/>
          <w:szCs w:val="24"/>
        </w:rPr>
        <w:t>Aziz</w:t>
      </w:r>
      <w:r w:rsidRPr="007D4DDF">
        <w:rPr>
          <w:rStyle w:val="FootnoteReference"/>
          <w:szCs w:val="24"/>
        </w:rPr>
        <w:footnoteReference w:id="150"/>
      </w:r>
      <w:r w:rsidRPr="007D4DDF">
        <w:rPr>
          <w:szCs w:val="24"/>
        </w:rPr>
        <w:t xml:space="preserve"> challenged the compatibility of the procedure with the requirement of </w:t>
      </w:r>
      <w:r w:rsidR="00662F89" w:rsidRPr="007D4DDF">
        <w:rPr>
          <w:szCs w:val="24"/>
        </w:rPr>
        <w:t xml:space="preserve">the </w:t>
      </w:r>
      <w:r w:rsidRPr="007D4DDF">
        <w:rPr>
          <w:szCs w:val="24"/>
        </w:rPr>
        <w:t>effectiveness of EU consumer law, which regards mortgages as consumer contracts.</w:t>
      </w:r>
    </w:p>
    <w:p w14:paraId="05A8FD5E" w14:textId="40B47234" w:rsidR="001A4592" w:rsidRDefault="002820CB" w:rsidP="00777703">
      <w:pPr>
        <w:spacing w:before="0" w:after="120" w:line="240" w:lineRule="auto"/>
        <w:rPr>
          <w:szCs w:val="24"/>
        </w:rPr>
      </w:pPr>
      <w:r w:rsidRPr="007D4DDF">
        <w:rPr>
          <w:szCs w:val="24"/>
        </w:rPr>
        <w:t xml:space="preserve">In Ireland, legislation, the mortgage contract and principles of equity enable a lender </w:t>
      </w:r>
      <w:r w:rsidR="00697731" w:rsidRPr="007D4DDF">
        <w:rPr>
          <w:szCs w:val="24"/>
        </w:rPr>
        <w:t xml:space="preserve">under </w:t>
      </w:r>
      <w:r w:rsidRPr="007D4DDF">
        <w:rPr>
          <w:szCs w:val="24"/>
        </w:rPr>
        <w:t xml:space="preserve">a defaulted mortgage to acquire possession of the property, prior to sale. However, legislation </w:t>
      </w:r>
      <w:r w:rsidR="00697731" w:rsidRPr="007D4DDF">
        <w:rPr>
          <w:szCs w:val="24"/>
        </w:rPr>
        <w:t xml:space="preserve">of </w:t>
      </w:r>
      <w:r w:rsidRPr="007D4DDF">
        <w:rPr>
          <w:szCs w:val="24"/>
        </w:rPr>
        <w:t xml:space="preserve">2009 distinguishes between </w:t>
      </w:r>
      <w:r w:rsidR="00255A5C" w:rsidRPr="007D4DDF">
        <w:rPr>
          <w:szCs w:val="24"/>
        </w:rPr>
        <w:t>‘</w:t>
      </w:r>
      <w:r w:rsidRPr="007D4DDF">
        <w:rPr>
          <w:szCs w:val="24"/>
        </w:rPr>
        <w:t>housing loans</w:t>
      </w:r>
      <w:r w:rsidR="00255A5C" w:rsidRPr="007D4DDF">
        <w:rPr>
          <w:szCs w:val="24"/>
        </w:rPr>
        <w:t>’</w:t>
      </w:r>
      <w:r w:rsidRPr="007D4DDF">
        <w:rPr>
          <w:szCs w:val="24"/>
        </w:rPr>
        <w:t xml:space="preserve"> and other mortgages, and gives more discretion to courts to adjourn or suspend cases where there is a possibility </w:t>
      </w:r>
      <w:r w:rsidR="00697731" w:rsidRPr="007D4DDF">
        <w:rPr>
          <w:szCs w:val="24"/>
        </w:rPr>
        <w:t xml:space="preserve">of </w:t>
      </w:r>
      <w:r w:rsidRPr="007D4DDF">
        <w:rPr>
          <w:szCs w:val="24"/>
        </w:rPr>
        <w:t xml:space="preserve">repayment. </w:t>
      </w:r>
      <w:r w:rsidRPr="007D4DDF">
        <w:rPr>
          <w:bCs/>
          <w:szCs w:val="24"/>
        </w:rPr>
        <w:t xml:space="preserve">The </w:t>
      </w:r>
      <w:r w:rsidR="007A7839">
        <w:rPr>
          <w:bCs/>
          <w:szCs w:val="24"/>
        </w:rPr>
        <w:t>‘</w:t>
      </w:r>
      <w:r w:rsidRPr="007D4DDF">
        <w:rPr>
          <w:bCs/>
          <w:szCs w:val="24"/>
        </w:rPr>
        <w:t>equity of redemption</w:t>
      </w:r>
      <w:r w:rsidR="007A7839">
        <w:rPr>
          <w:bCs/>
          <w:szCs w:val="24"/>
        </w:rPr>
        <w:t>’</w:t>
      </w:r>
      <w:r w:rsidRPr="007D4DDF">
        <w:rPr>
          <w:bCs/>
          <w:szCs w:val="24"/>
        </w:rPr>
        <w:t xml:space="preserve"> and the legislation in place require</w:t>
      </w:r>
      <w:r w:rsidR="00A30391" w:rsidRPr="007D4DDF">
        <w:rPr>
          <w:bCs/>
          <w:szCs w:val="24"/>
        </w:rPr>
        <w:t xml:space="preserve"> </w:t>
      </w:r>
      <w:r w:rsidR="00965C0B" w:rsidRPr="007D4DDF">
        <w:rPr>
          <w:bCs/>
          <w:szCs w:val="24"/>
        </w:rPr>
        <w:t>t</w:t>
      </w:r>
      <w:r w:rsidRPr="007D4DDF">
        <w:rPr>
          <w:bCs/>
          <w:szCs w:val="24"/>
        </w:rPr>
        <w:t>hat the courts firstly grant an order for possession</w:t>
      </w:r>
      <w:r w:rsidR="00965C0B" w:rsidRPr="007D4DDF">
        <w:rPr>
          <w:bCs/>
          <w:szCs w:val="24"/>
        </w:rPr>
        <w:t xml:space="preserve">. This is followed </w:t>
      </w:r>
      <w:r w:rsidRPr="007D4DDF">
        <w:rPr>
          <w:bCs/>
          <w:szCs w:val="24"/>
        </w:rPr>
        <w:t xml:space="preserve">by a sale (with obligations on the mortgagee to get the best price). While the mortgagor is liable for any shortfall, they can also receive any surplus after all debts are paid from the sale </w:t>
      </w:r>
      <w:r w:rsidRPr="007D4DDF">
        <w:rPr>
          <w:bCs/>
          <w:szCs w:val="24"/>
        </w:rPr>
        <w:lastRenderedPageBreak/>
        <w:t>price.</w:t>
      </w:r>
      <w:r w:rsidRPr="007D4DDF">
        <w:rPr>
          <w:rStyle w:val="FootnoteReference"/>
          <w:bCs/>
          <w:szCs w:val="24"/>
        </w:rPr>
        <w:footnoteReference w:id="151"/>
      </w:r>
      <w:r w:rsidRPr="007D4DDF">
        <w:rPr>
          <w:bCs/>
          <w:szCs w:val="24"/>
        </w:rPr>
        <w:t xml:space="preserve"> </w:t>
      </w:r>
      <w:r w:rsidRPr="007D4DDF">
        <w:rPr>
          <w:szCs w:val="24"/>
        </w:rPr>
        <w:t xml:space="preserve">There are few defences to possession in mortgage arrears cases, and </w:t>
      </w:r>
      <w:r w:rsidRPr="007D4DDF">
        <w:rPr>
          <w:rStyle w:val="Hyperlink"/>
          <w:rFonts w:eastAsia="Gill Sans"/>
          <w:color w:val="000000"/>
          <w:szCs w:val="24"/>
          <w:u w:val="none"/>
          <w:shd w:val="clear" w:color="auto" w:fill="FFFFFF"/>
        </w:rPr>
        <w:t xml:space="preserve">failure to respond to </w:t>
      </w:r>
      <w:r w:rsidR="00965C0B" w:rsidRPr="007D4DDF">
        <w:rPr>
          <w:rStyle w:val="Hyperlink"/>
          <w:rFonts w:eastAsia="Gill Sans"/>
          <w:color w:val="000000"/>
          <w:szCs w:val="24"/>
          <w:u w:val="none"/>
          <w:shd w:val="clear" w:color="auto" w:fill="FFFFFF"/>
        </w:rPr>
        <w:t xml:space="preserve">the initial proceedings quickly can </w:t>
      </w:r>
      <w:r w:rsidRPr="007D4DDF">
        <w:rPr>
          <w:rStyle w:val="Hyperlink"/>
          <w:rFonts w:eastAsia="Gill Sans"/>
          <w:color w:val="000000"/>
          <w:szCs w:val="24"/>
          <w:u w:val="none"/>
          <w:shd w:val="clear" w:color="auto" w:fill="FFFFFF"/>
        </w:rPr>
        <w:t>result in a summary judgment of eviction.</w:t>
      </w:r>
      <w:r w:rsidRPr="007D4DDF">
        <w:rPr>
          <w:rStyle w:val="FootnoteReference"/>
          <w:bCs/>
          <w:szCs w:val="24"/>
        </w:rPr>
        <w:footnoteReference w:id="152"/>
      </w:r>
      <w:r w:rsidRPr="007D4DDF">
        <w:rPr>
          <w:bCs/>
          <w:szCs w:val="24"/>
        </w:rPr>
        <w:t xml:space="preserve"> However, most cases are treated sympathetically by judges and registrars</w:t>
      </w:r>
      <w:r w:rsidR="00697731" w:rsidRPr="007D4DDF">
        <w:rPr>
          <w:bCs/>
          <w:szCs w:val="24"/>
        </w:rPr>
        <w:t>,</w:t>
      </w:r>
      <w:r w:rsidRPr="007D4DDF">
        <w:rPr>
          <w:bCs/>
          <w:szCs w:val="24"/>
        </w:rPr>
        <w:t xml:space="preserve"> who adjourn proceedings to enable an arrangement to be made. U</w:t>
      </w:r>
      <w:r w:rsidR="00EF2106" w:rsidRPr="007D4DDF">
        <w:rPr>
          <w:bCs/>
          <w:szCs w:val="24"/>
        </w:rPr>
        <w:t xml:space="preserve">nited </w:t>
      </w:r>
      <w:r w:rsidRPr="007D4DDF">
        <w:rPr>
          <w:bCs/>
          <w:szCs w:val="24"/>
        </w:rPr>
        <w:t>K</w:t>
      </w:r>
      <w:r w:rsidR="00EF2106" w:rsidRPr="007D4DDF">
        <w:rPr>
          <w:bCs/>
          <w:szCs w:val="24"/>
        </w:rPr>
        <w:t>ingdom</w:t>
      </w:r>
      <w:r w:rsidRPr="007D4DDF">
        <w:rPr>
          <w:bCs/>
          <w:szCs w:val="24"/>
        </w:rPr>
        <w:t xml:space="preserve"> </w:t>
      </w:r>
      <w:r w:rsidRPr="007D4DDF">
        <w:rPr>
          <w:szCs w:val="24"/>
        </w:rPr>
        <w:t>property legislation since 1925 enables a mortgagee to take possession of a property where there are mortgage arrears, although in practice</w:t>
      </w:r>
      <w:r w:rsidR="00F85B5F" w:rsidRPr="007D4DDF">
        <w:rPr>
          <w:szCs w:val="24"/>
        </w:rPr>
        <w:t>,</w:t>
      </w:r>
      <w:r w:rsidRPr="007D4DDF">
        <w:rPr>
          <w:szCs w:val="24"/>
        </w:rPr>
        <w:t xml:space="preserve"> it is necessary to obtain vacant possession before sale, unlike </w:t>
      </w:r>
      <w:r w:rsidR="00697731" w:rsidRPr="007D4DDF">
        <w:rPr>
          <w:szCs w:val="24"/>
        </w:rPr>
        <w:t xml:space="preserve">in </w:t>
      </w:r>
      <w:r w:rsidRPr="007D4DDF">
        <w:rPr>
          <w:szCs w:val="24"/>
        </w:rPr>
        <w:t xml:space="preserve">most EU civil law systems. Legislation </w:t>
      </w:r>
      <w:r w:rsidR="00697731" w:rsidRPr="007D4DDF">
        <w:rPr>
          <w:szCs w:val="24"/>
        </w:rPr>
        <w:t xml:space="preserve">of </w:t>
      </w:r>
      <w:r w:rsidRPr="007D4DDF">
        <w:rPr>
          <w:szCs w:val="24"/>
        </w:rPr>
        <w:t xml:space="preserve">1970 </w:t>
      </w:r>
      <w:r w:rsidR="00965C0B" w:rsidRPr="007D4DDF">
        <w:rPr>
          <w:szCs w:val="24"/>
        </w:rPr>
        <w:t xml:space="preserve">in England and Wales </w:t>
      </w:r>
      <w:r w:rsidRPr="007D4DDF">
        <w:rPr>
          <w:szCs w:val="24"/>
        </w:rPr>
        <w:t>gives powers to courts to adjourn or suspend cases.</w:t>
      </w:r>
    </w:p>
    <w:p w14:paraId="658E000B" w14:textId="77777777" w:rsidR="006E160F" w:rsidRPr="007D4DDF" w:rsidRDefault="006E160F" w:rsidP="00777703">
      <w:pPr>
        <w:spacing w:before="0" w:after="120" w:line="240" w:lineRule="auto"/>
        <w:rPr>
          <w:szCs w:val="24"/>
        </w:rPr>
      </w:pPr>
    </w:p>
    <w:p w14:paraId="3F0CA3F0" w14:textId="7111FE85" w:rsidR="001A4592" w:rsidRPr="007D4DDF" w:rsidRDefault="00940C5D" w:rsidP="00777703">
      <w:pPr>
        <w:pStyle w:val="Heading2"/>
        <w:spacing w:before="0" w:after="120" w:line="240" w:lineRule="auto"/>
        <w:ind w:left="1134" w:hanging="1134"/>
        <w:rPr>
          <w:rFonts w:ascii="Times New Roman" w:hAnsi="Times New Roman"/>
        </w:rPr>
      </w:pPr>
      <w:bookmarkStart w:id="17" w:name="_Toc508191205"/>
      <w:r w:rsidRPr="007D4DDF">
        <w:rPr>
          <w:rFonts w:ascii="Times New Roman" w:hAnsi="Times New Roman"/>
        </w:rPr>
        <w:t>4.7</w:t>
      </w:r>
      <w:r w:rsidR="006E160F">
        <w:rPr>
          <w:rFonts w:ascii="Times New Roman" w:hAnsi="Times New Roman"/>
        </w:rPr>
        <w:t>.</w:t>
      </w:r>
      <w:r w:rsidR="008331E6">
        <w:rPr>
          <w:rFonts w:ascii="Times New Roman" w:hAnsi="Times New Roman"/>
        </w:rPr>
        <w:t xml:space="preserve"> </w:t>
      </w:r>
      <w:r w:rsidR="002820CB" w:rsidRPr="007D4DDF">
        <w:rPr>
          <w:rFonts w:ascii="Times New Roman" w:hAnsi="Times New Roman"/>
        </w:rPr>
        <w:t xml:space="preserve">Law </w:t>
      </w:r>
      <w:r w:rsidRPr="007D4DDF">
        <w:rPr>
          <w:rFonts w:ascii="Times New Roman" w:hAnsi="Times New Roman"/>
        </w:rPr>
        <w:t>R</w:t>
      </w:r>
      <w:r w:rsidR="002820CB" w:rsidRPr="007D4DDF">
        <w:rPr>
          <w:rFonts w:ascii="Times New Roman" w:hAnsi="Times New Roman"/>
        </w:rPr>
        <w:t xml:space="preserve">elating to </w:t>
      </w:r>
      <w:r w:rsidRPr="007D4DDF">
        <w:rPr>
          <w:rFonts w:ascii="Times New Roman" w:hAnsi="Times New Roman"/>
        </w:rPr>
        <w:t>P</w:t>
      </w:r>
      <w:r w:rsidR="002820CB" w:rsidRPr="007D4DDF">
        <w:rPr>
          <w:rFonts w:ascii="Times New Roman" w:hAnsi="Times New Roman"/>
        </w:rPr>
        <w:t xml:space="preserve">rivate </w:t>
      </w:r>
      <w:r w:rsidRPr="007D4DDF">
        <w:rPr>
          <w:rFonts w:ascii="Times New Roman" w:hAnsi="Times New Roman"/>
        </w:rPr>
        <w:t>R</w:t>
      </w:r>
      <w:r w:rsidR="002820CB" w:rsidRPr="007D4DDF">
        <w:rPr>
          <w:rFonts w:ascii="Times New Roman" w:hAnsi="Times New Roman"/>
        </w:rPr>
        <w:t>enting</w:t>
      </w:r>
      <w:bookmarkEnd w:id="17"/>
    </w:p>
    <w:p w14:paraId="62FA0F25" w14:textId="77777777" w:rsidR="001A4592" w:rsidRPr="007D4DDF" w:rsidRDefault="002820CB" w:rsidP="00395E14">
      <w:pPr>
        <w:spacing w:before="0" w:after="120" w:line="240" w:lineRule="auto"/>
        <w:rPr>
          <w:szCs w:val="24"/>
        </w:rPr>
      </w:pPr>
      <w:r w:rsidRPr="007D4DDF">
        <w:rPr>
          <w:szCs w:val="24"/>
        </w:rPr>
        <w:t>The laws on private renting are the same for many civil law countries, although specific procedural protections differ. Generally, the procedure is that after a period of arrears or some other breach, the landlord will issue a legal claim for possession and the court will have some discretion to order, suspend or enforce that order. However, the UK is unique in that assured shorthold tenancies give an automatic right to possession for the landlord, after either the prescribed six</w:t>
      </w:r>
      <w:r w:rsidR="00A03E10" w:rsidRPr="007D4DDF">
        <w:rPr>
          <w:szCs w:val="24"/>
        </w:rPr>
        <w:t>-</w:t>
      </w:r>
      <w:r w:rsidRPr="007D4DDF">
        <w:rPr>
          <w:szCs w:val="24"/>
        </w:rPr>
        <w:t xml:space="preserve"> or </w:t>
      </w:r>
      <w:r w:rsidR="00697731" w:rsidRPr="007D4DDF">
        <w:rPr>
          <w:szCs w:val="24"/>
        </w:rPr>
        <w:t>twelve-</w:t>
      </w:r>
      <w:r w:rsidRPr="007D4DDF">
        <w:rPr>
          <w:szCs w:val="24"/>
        </w:rPr>
        <w:t xml:space="preserve">month tenancy. There is an accelerated procedure in England and Wales which does not require a court hearing. Similar legislation was introduced in </w:t>
      </w:r>
      <w:r w:rsidR="008D20C6" w:rsidRPr="007D4DDF">
        <w:rPr>
          <w:szCs w:val="24"/>
        </w:rPr>
        <w:t>t</w:t>
      </w:r>
      <w:r w:rsidRPr="007D4DDF">
        <w:rPr>
          <w:szCs w:val="24"/>
        </w:rPr>
        <w:t xml:space="preserve">he Netherlands in 2016, although Michel Vols </w:t>
      </w:r>
      <w:r w:rsidR="00965C0B" w:rsidRPr="007D4DDF">
        <w:rPr>
          <w:szCs w:val="24"/>
        </w:rPr>
        <w:t xml:space="preserve">points out that </w:t>
      </w:r>
      <w:r w:rsidRPr="007D4DDF">
        <w:rPr>
          <w:szCs w:val="24"/>
        </w:rPr>
        <w:t>Dutch courts</w:t>
      </w:r>
      <w:r w:rsidR="00A30391" w:rsidRPr="007D4DDF">
        <w:rPr>
          <w:szCs w:val="24"/>
        </w:rPr>
        <w:t xml:space="preserve"> </w:t>
      </w:r>
      <w:r w:rsidRPr="007D4DDF">
        <w:rPr>
          <w:szCs w:val="24"/>
        </w:rPr>
        <w:t>continue to carry out proportionality assessments in line with Article 8 ECHR.</w:t>
      </w:r>
      <w:r w:rsidRPr="007D4DDF">
        <w:rPr>
          <w:rStyle w:val="FootnoteReference"/>
          <w:szCs w:val="24"/>
        </w:rPr>
        <w:footnoteReference w:id="153"/>
      </w:r>
    </w:p>
    <w:p w14:paraId="2E23D9EE" w14:textId="77777777" w:rsidR="001A4592" w:rsidRPr="007D4DDF" w:rsidRDefault="002820CB" w:rsidP="00777703">
      <w:pPr>
        <w:spacing w:before="0" w:after="120" w:line="240" w:lineRule="auto"/>
        <w:rPr>
          <w:szCs w:val="24"/>
        </w:rPr>
      </w:pPr>
      <w:r w:rsidRPr="007D4DDF">
        <w:rPr>
          <w:szCs w:val="24"/>
        </w:rPr>
        <w:t xml:space="preserve">Protections </w:t>
      </w:r>
      <w:r w:rsidR="006A4CEE" w:rsidRPr="007D4DDF">
        <w:rPr>
          <w:szCs w:val="24"/>
        </w:rPr>
        <w:t xml:space="preserve">for tenants at risk of eviction </w:t>
      </w:r>
      <w:r w:rsidRPr="007D4DDF">
        <w:rPr>
          <w:szCs w:val="24"/>
        </w:rPr>
        <w:t>vary, including landlord</w:t>
      </w:r>
      <w:r w:rsidR="00FC5526" w:rsidRPr="007D4DDF">
        <w:rPr>
          <w:szCs w:val="24"/>
        </w:rPr>
        <w:t>s’</w:t>
      </w:r>
      <w:r w:rsidRPr="007D4DDF">
        <w:rPr>
          <w:szCs w:val="24"/>
        </w:rPr>
        <w:t xml:space="preserve"> obligations to inform housing benefits service</w:t>
      </w:r>
      <w:r w:rsidR="00FC5526" w:rsidRPr="007D4DDF">
        <w:rPr>
          <w:szCs w:val="24"/>
        </w:rPr>
        <w:t>s</w:t>
      </w:r>
      <w:r w:rsidRPr="007D4DDF">
        <w:rPr>
          <w:szCs w:val="24"/>
        </w:rPr>
        <w:t>, and</w:t>
      </w:r>
      <w:r w:rsidR="00FC5526" w:rsidRPr="007D4DDF">
        <w:rPr>
          <w:szCs w:val="24"/>
        </w:rPr>
        <w:t>,</w:t>
      </w:r>
      <w:r w:rsidRPr="007D4DDF">
        <w:rPr>
          <w:szCs w:val="24"/>
        </w:rPr>
        <w:t xml:space="preserve"> as Marc </w:t>
      </w:r>
      <w:proofErr w:type="spellStart"/>
      <w:r w:rsidRPr="007D4DDF">
        <w:rPr>
          <w:szCs w:val="24"/>
        </w:rPr>
        <w:t>Uhry</w:t>
      </w:r>
      <w:proofErr w:type="spellEnd"/>
      <w:r w:rsidRPr="007D4DDF">
        <w:rPr>
          <w:szCs w:val="24"/>
        </w:rPr>
        <w:t xml:space="preserve"> points out, the </w:t>
      </w:r>
      <w:r w:rsidR="00F85B5F" w:rsidRPr="007D4DDF">
        <w:rPr>
          <w:szCs w:val="24"/>
        </w:rPr>
        <w:t>P</w:t>
      </w:r>
      <w:r w:rsidRPr="007D4DDF">
        <w:rPr>
          <w:szCs w:val="24"/>
        </w:rPr>
        <w:t xml:space="preserve">revention of </w:t>
      </w:r>
      <w:r w:rsidR="00F85B5F" w:rsidRPr="007D4DDF">
        <w:rPr>
          <w:szCs w:val="24"/>
        </w:rPr>
        <w:t>E</w:t>
      </w:r>
      <w:r w:rsidRPr="007D4DDF">
        <w:rPr>
          <w:szCs w:val="24"/>
        </w:rPr>
        <w:t xml:space="preserve">viction </w:t>
      </w:r>
      <w:r w:rsidR="007A7839">
        <w:rPr>
          <w:szCs w:val="24"/>
        </w:rPr>
        <w:t>C</w:t>
      </w:r>
      <w:r w:rsidRPr="007D4DDF">
        <w:rPr>
          <w:szCs w:val="24"/>
        </w:rPr>
        <w:t>ommission (CCAPEX) has played a significant role in its interventions to avoid evictions in France.</w:t>
      </w:r>
      <w:r w:rsidRPr="007D4DDF">
        <w:rPr>
          <w:rStyle w:val="FootnoteReference"/>
          <w:szCs w:val="24"/>
        </w:rPr>
        <w:footnoteReference w:id="154"/>
      </w:r>
      <w:r w:rsidRPr="007D4DDF">
        <w:rPr>
          <w:szCs w:val="24"/>
        </w:rPr>
        <w:t xml:space="preserve"> </w:t>
      </w:r>
      <w:r w:rsidR="007A7839">
        <w:rPr>
          <w:szCs w:val="24"/>
        </w:rPr>
        <w:t>I</w:t>
      </w:r>
      <w:r w:rsidRPr="007D4DDF">
        <w:rPr>
          <w:szCs w:val="24"/>
        </w:rPr>
        <w:t>n Germany</w:t>
      </w:r>
      <w:r w:rsidR="00F85B5F" w:rsidRPr="007D4DDF">
        <w:rPr>
          <w:szCs w:val="24"/>
        </w:rPr>
        <w:t>,</w:t>
      </w:r>
      <w:r w:rsidRPr="007D4DDF">
        <w:rPr>
          <w:szCs w:val="24"/>
        </w:rPr>
        <w:t xml:space="preserve"> the law on private renting is regulated </w:t>
      </w:r>
      <w:r w:rsidR="00AC45F0" w:rsidRPr="007D4DDF">
        <w:rPr>
          <w:szCs w:val="24"/>
        </w:rPr>
        <w:t>by</w:t>
      </w:r>
      <w:r w:rsidR="0031561C" w:rsidRPr="007D4DDF">
        <w:rPr>
          <w:szCs w:val="24"/>
        </w:rPr>
        <w:t xml:space="preserve"> </w:t>
      </w:r>
      <w:r w:rsidRPr="007D4DDF">
        <w:rPr>
          <w:szCs w:val="24"/>
        </w:rPr>
        <w:t>the German Civil Code (</w:t>
      </w:r>
      <w:proofErr w:type="spellStart"/>
      <w:r w:rsidRPr="007D4DDF">
        <w:rPr>
          <w:i/>
          <w:szCs w:val="24"/>
        </w:rPr>
        <w:t>Bürgerliches</w:t>
      </w:r>
      <w:proofErr w:type="spellEnd"/>
      <w:r w:rsidRPr="007D4DDF">
        <w:rPr>
          <w:i/>
          <w:szCs w:val="24"/>
        </w:rPr>
        <w:t xml:space="preserve"> </w:t>
      </w:r>
      <w:proofErr w:type="spellStart"/>
      <w:r w:rsidRPr="007D4DDF">
        <w:rPr>
          <w:i/>
          <w:szCs w:val="24"/>
        </w:rPr>
        <w:t>Gesetzbuch</w:t>
      </w:r>
      <w:proofErr w:type="spellEnd"/>
      <w:r w:rsidR="003510AA" w:rsidRPr="007D4DDF">
        <w:rPr>
          <w:szCs w:val="24"/>
        </w:rPr>
        <w:t xml:space="preserve"> –</w:t>
      </w:r>
      <w:r w:rsidRPr="007D4DDF">
        <w:rPr>
          <w:szCs w:val="24"/>
        </w:rPr>
        <w:t>BGB)</w:t>
      </w:r>
      <w:r w:rsidR="007A7839">
        <w:rPr>
          <w:szCs w:val="24"/>
        </w:rPr>
        <w:t>,</w:t>
      </w:r>
      <w:r w:rsidRPr="007D4DDF">
        <w:rPr>
          <w:rStyle w:val="Funotenzeichen2"/>
          <w:szCs w:val="24"/>
        </w:rPr>
        <w:footnoteReference w:id="155"/>
      </w:r>
      <w:r w:rsidR="00A30391" w:rsidRPr="007D4DDF">
        <w:rPr>
          <w:szCs w:val="24"/>
        </w:rPr>
        <w:t xml:space="preserve"> </w:t>
      </w:r>
      <w:r w:rsidR="007A7839">
        <w:rPr>
          <w:szCs w:val="24"/>
        </w:rPr>
        <w:t>and t</w:t>
      </w:r>
      <w:r w:rsidRPr="007D4DDF">
        <w:rPr>
          <w:szCs w:val="24"/>
        </w:rPr>
        <w:t xml:space="preserve">enancies can be terminated </w:t>
      </w:r>
      <w:r w:rsidR="00FE03D9" w:rsidRPr="007D4DDF">
        <w:rPr>
          <w:szCs w:val="24"/>
        </w:rPr>
        <w:t xml:space="preserve">only </w:t>
      </w:r>
      <w:r w:rsidRPr="007D4DDF">
        <w:rPr>
          <w:szCs w:val="24"/>
        </w:rPr>
        <w:t>on specific grounds unless</w:t>
      </w:r>
      <w:r w:rsidR="006A4CEE" w:rsidRPr="007D4DDF">
        <w:rPr>
          <w:szCs w:val="24"/>
        </w:rPr>
        <w:t xml:space="preserve"> it is </w:t>
      </w:r>
      <w:r w:rsidRPr="007D4DDF">
        <w:rPr>
          <w:szCs w:val="24"/>
        </w:rPr>
        <w:t>a fixed</w:t>
      </w:r>
      <w:r w:rsidR="00AB7101" w:rsidRPr="007D4DDF">
        <w:rPr>
          <w:szCs w:val="24"/>
        </w:rPr>
        <w:t>-</w:t>
      </w:r>
      <w:r w:rsidRPr="007D4DDF">
        <w:rPr>
          <w:szCs w:val="24"/>
        </w:rPr>
        <w:t>term tenancy, but tenants can defend the action on grounds of hardship, or seek an extension of occupancy of up to one year.</w:t>
      </w:r>
    </w:p>
    <w:p w14:paraId="306C50FC" w14:textId="77777777" w:rsidR="001A4592" w:rsidRPr="007D4DDF" w:rsidRDefault="002820CB" w:rsidP="00777703">
      <w:pPr>
        <w:spacing w:before="0" w:after="120" w:line="240" w:lineRule="auto"/>
        <w:rPr>
          <w:szCs w:val="24"/>
        </w:rPr>
      </w:pPr>
      <w:r w:rsidRPr="007D4DDF">
        <w:rPr>
          <w:szCs w:val="24"/>
        </w:rPr>
        <w:t>There are few protections for tenants where an unregulated private market persists</w:t>
      </w:r>
      <w:r w:rsidR="006A4CEE" w:rsidRPr="007D4DDF">
        <w:rPr>
          <w:szCs w:val="24"/>
        </w:rPr>
        <w:t>,</w:t>
      </w:r>
      <w:r w:rsidRPr="007D4DDF">
        <w:rPr>
          <w:szCs w:val="24"/>
        </w:rPr>
        <w:t xml:space="preserve"> and this applies in Hungary, where illegal or </w:t>
      </w:r>
      <w:r w:rsidR="009134ED" w:rsidRPr="007D4DDF">
        <w:rPr>
          <w:szCs w:val="24"/>
        </w:rPr>
        <w:t>unauthori</w:t>
      </w:r>
      <w:r w:rsidR="009134ED">
        <w:rPr>
          <w:szCs w:val="24"/>
        </w:rPr>
        <w:t>z</w:t>
      </w:r>
      <w:r w:rsidR="009134ED" w:rsidRPr="007D4DDF">
        <w:rPr>
          <w:szCs w:val="24"/>
        </w:rPr>
        <w:t xml:space="preserve">ed </w:t>
      </w:r>
      <w:r w:rsidRPr="007D4DDF">
        <w:rPr>
          <w:szCs w:val="24"/>
        </w:rPr>
        <w:t xml:space="preserve">evictions are common. In Italy, tenancy laws </w:t>
      </w:r>
      <w:r w:rsidR="00AB7101" w:rsidRPr="007D4DDF">
        <w:rPr>
          <w:szCs w:val="24"/>
        </w:rPr>
        <w:t xml:space="preserve">of </w:t>
      </w:r>
      <w:r w:rsidRPr="007D4DDF">
        <w:rPr>
          <w:szCs w:val="24"/>
        </w:rPr>
        <w:t>1978 and 1998 provide protection to tenants</w:t>
      </w:r>
      <w:r w:rsidR="00F85B5F" w:rsidRPr="007D4DDF">
        <w:rPr>
          <w:szCs w:val="24"/>
        </w:rPr>
        <w:t>,</w:t>
      </w:r>
      <w:r w:rsidRPr="007D4DDF">
        <w:rPr>
          <w:szCs w:val="24"/>
        </w:rPr>
        <w:t xml:space="preserve"> enabling late payment of arrears and suspending the eviction order for up to 180 days in densely populated areas (</w:t>
      </w:r>
      <w:r w:rsidR="00AB7101" w:rsidRPr="007D4DDF">
        <w:rPr>
          <w:szCs w:val="24"/>
        </w:rPr>
        <w:t xml:space="preserve">as </w:t>
      </w:r>
      <w:r w:rsidRPr="007D4DDF">
        <w:rPr>
          <w:szCs w:val="24"/>
        </w:rPr>
        <w:t>identified by the government).</w:t>
      </w:r>
    </w:p>
    <w:p w14:paraId="466B9F00" w14:textId="5DA2B2D1" w:rsidR="001A4592" w:rsidRDefault="002820CB" w:rsidP="00777703">
      <w:pPr>
        <w:spacing w:before="0" w:after="120" w:line="240" w:lineRule="auto"/>
        <w:rPr>
          <w:szCs w:val="24"/>
        </w:rPr>
      </w:pPr>
      <w:r w:rsidRPr="007D4DDF">
        <w:rPr>
          <w:szCs w:val="24"/>
        </w:rPr>
        <w:t xml:space="preserve">In Ireland, the law on evictions from private rented dwellings is contained in legislation dating from 2004 and requires statutory periods of notice and allows an appeal to the </w:t>
      </w:r>
      <w:r w:rsidRPr="007D4DDF">
        <w:rPr>
          <w:szCs w:val="24"/>
        </w:rPr>
        <w:lastRenderedPageBreak/>
        <w:t xml:space="preserve">Residential Tenancies Board </w:t>
      </w:r>
      <w:r w:rsidR="006A4CEE" w:rsidRPr="007D4DDF">
        <w:rPr>
          <w:szCs w:val="24"/>
        </w:rPr>
        <w:t xml:space="preserve">(RTB) </w:t>
      </w:r>
      <w:r w:rsidRPr="007D4DDF">
        <w:rPr>
          <w:szCs w:val="24"/>
        </w:rPr>
        <w:t xml:space="preserve">by a tenant (or former tenants who have been illegally evicted). Where a tenant does not leave after a notice from the landlord or an order from the </w:t>
      </w:r>
      <w:r w:rsidR="006A4CEE" w:rsidRPr="007D4DDF">
        <w:rPr>
          <w:szCs w:val="24"/>
        </w:rPr>
        <w:t>RTB</w:t>
      </w:r>
      <w:r w:rsidRPr="007D4DDF">
        <w:rPr>
          <w:szCs w:val="24"/>
        </w:rPr>
        <w:t xml:space="preserve">, it is necessary to obtain a court order to enforce the eviction. There are limited grounds for eviction, although sale of the property is one of these. There is a </w:t>
      </w:r>
      <w:r w:rsidR="00AB7101" w:rsidRPr="007D4DDF">
        <w:rPr>
          <w:szCs w:val="24"/>
        </w:rPr>
        <w:t>three-</w:t>
      </w:r>
      <w:r w:rsidRPr="007D4DDF">
        <w:rPr>
          <w:szCs w:val="24"/>
        </w:rPr>
        <w:t xml:space="preserve">step process for evictions for rent arrears. </w:t>
      </w:r>
      <w:r w:rsidR="00A30391" w:rsidRPr="007D4DDF">
        <w:rPr>
          <w:szCs w:val="24"/>
        </w:rPr>
        <w:t>Most landlords have one or two properties, and in some cases where landlords have defaulted on mortgages, receivers are appointed by lenders who then evict tenants prior to sale</w:t>
      </w:r>
      <w:r w:rsidR="00F85B5F" w:rsidRPr="007D4DDF">
        <w:rPr>
          <w:szCs w:val="24"/>
        </w:rPr>
        <w:t>,</w:t>
      </w:r>
      <w:r w:rsidR="00DC43EE" w:rsidRPr="007D4DDF">
        <w:rPr>
          <w:szCs w:val="24"/>
        </w:rPr>
        <w:t xml:space="preserve"> </w:t>
      </w:r>
      <w:r w:rsidR="00A30391" w:rsidRPr="007D4DDF">
        <w:rPr>
          <w:szCs w:val="24"/>
        </w:rPr>
        <w:t>one of the main causes of family homelessness in Ireland.</w:t>
      </w:r>
    </w:p>
    <w:p w14:paraId="45B2DFA8" w14:textId="77777777" w:rsidR="006E160F" w:rsidRPr="007D4DDF" w:rsidRDefault="006E160F" w:rsidP="00777703">
      <w:pPr>
        <w:spacing w:before="0" w:after="120" w:line="240" w:lineRule="auto"/>
        <w:rPr>
          <w:szCs w:val="24"/>
        </w:rPr>
      </w:pPr>
    </w:p>
    <w:p w14:paraId="29BF9978" w14:textId="5EB04A33" w:rsidR="001A4592" w:rsidRPr="007D4DDF" w:rsidRDefault="00DC43EE" w:rsidP="00777703">
      <w:pPr>
        <w:pStyle w:val="Heading2"/>
        <w:spacing w:before="0" w:after="120" w:line="240" w:lineRule="auto"/>
        <w:ind w:left="1134" w:hanging="1134"/>
        <w:rPr>
          <w:rFonts w:ascii="Times New Roman" w:hAnsi="Times New Roman"/>
        </w:rPr>
      </w:pPr>
      <w:bookmarkStart w:id="18" w:name="_Toc508191206"/>
      <w:r w:rsidRPr="007D4DDF">
        <w:rPr>
          <w:rFonts w:ascii="Times New Roman" w:hAnsi="Times New Roman"/>
        </w:rPr>
        <w:t>4.8</w:t>
      </w:r>
      <w:r w:rsidR="006E160F">
        <w:rPr>
          <w:rFonts w:ascii="Times New Roman" w:hAnsi="Times New Roman"/>
        </w:rPr>
        <w:t>.</w:t>
      </w:r>
      <w:r w:rsidR="004331ED">
        <w:rPr>
          <w:rFonts w:ascii="Times New Roman" w:hAnsi="Times New Roman"/>
        </w:rPr>
        <w:t xml:space="preserve"> </w:t>
      </w:r>
      <w:r w:rsidR="002820CB" w:rsidRPr="007D4DDF">
        <w:rPr>
          <w:rFonts w:ascii="Times New Roman" w:hAnsi="Times New Roman"/>
        </w:rPr>
        <w:t xml:space="preserve">Law </w:t>
      </w:r>
      <w:r w:rsidRPr="007D4DDF">
        <w:rPr>
          <w:rFonts w:ascii="Times New Roman" w:hAnsi="Times New Roman"/>
        </w:rPr>
        <w:t>R</w:t>
      </w:r>
      <w:r w:rsidR="002820CB" w:rsidRPr="007D4DDF">
        <w:rPr>
          <w:rFonts w:ascii="Times New Roman" w:hAnsi="Times New Roman"/>
        </w:rPr>
        <w:t xml:space="preserve">elating to </w:t>
      </w:r>
      <w:r w:rsidRPr="007D4DDF">
        <w:rPr>
          <w:rFonts w:ascii="Times New Roman" w:hAnsi="Times New Roman"/>
        </w:rPr>
        <w:t>S</w:t>
      </w:r>
      <w:r w:rsidR="002820CB" w:rsidRPr="007D4DDF">
        <w:rPr>
          <w:rFonts w:ascii="Times New Roman" w:hAnsi="Times New Roman"/>
        </w:rPr>
        <w:t xml:space="preserve">ocial </w:t>
      </w:r>
      <w:r w:rsidRPr="007D4DDF">
        <w:rPr>
          <w:rFonts w:ascii="Times New Roman" w:hAnsi="Times New Roman"/>
        </w:rPr>
        <w:t>R</w:t>
      </w:r>
      <w:r w:rsidR="002820CB" w:rsidRPr="007D4DDF">
        <w:rPr>
          <w:rFonts w:ascii="Times New Roman" w:hAnsi="Times New Roman"/>
        </w:rPr>
        <w:t>enting</w:t>
      </w:r>
      <w:bookmarkEnd w:id="18"/>
    </w:p>
    <w:p w14:paraId="366F5B99" w14:textId="77777777" w:rsidR="001A4592" w:rsidRPr="007D4DDF" w:rsidRDefault="002820CB" w:rsidP="00395E14">
      <w:pPr>
        <w:spacing w:before="0" w:after="120" w:line="240" w:lineRule="auto"/>
        <w:rPr>
          <w:szCs w:val="24"/>
        </w:rPr>
      </w:pPr>
      <w:r w:rsidRPr="007D4DDF">
        <w:rPr>
          <w:szCs w:val="24"/>
        </w:rPr>
        <w:t>In most countries</w:t>
      </w:r>
      <w:r w:rsidR="007D643B" w:rsidRPr="007D4DDF">
        <w:rPr>
          <w:szCs w:val="24"/>
        </w:rPr>
        <w:t>,</w:t>
      </w:r>
      <w:r w:rsidRPr="007D4DDF">
        <w:rPr>
          <w:szCs w:val="24"/>
        </w:rPr>
        <w:t xml:space="preserve"> evictions from social housing are rare and take place </w:t>
      </w:r>
      <w:r w:rsidR="00FE03D9" w:rsidRPr="007D4DDF">
        <w:rPr>
          <w:szCs w:val="24"/>
        </w:rPr>
        <w:t xml:space="preserve">only </w:t>
      </w:r>
      <w:r w:rsidRPr="007D4DDF">
        <w:rPr>
          <w:szCs w:val="24"/>
        </w:rPr>
        <w:t xml:space="preserve">when all other supports and efforts have been exhausted. However, the exceptions are the UK and the Netherlands. In the UK, the structure of social housing provisions has changed, and many housing associations use tenancies comparable to the private sector, including </w:t>
      </w:r>
      <w:r w:rsidR="007D643B" w:rsidRPr="007D4DDF">
        <w:rPr>
          <w:szCs w:val="24"/>
        </w:rPr>
        <w:t>‘</w:t>
      </w:r>
      <w:r w:rsidRPr="007D4DDF">
        <w:rPr>
          <w:szCs w:val="24"/>
        </w:rPr>
        <w:t>probationary</w:t>
      </w:r>
      <w:r w:rsidR="007D643B" w:rsidRPr="007D4DDF">
        <w:rPr>
          <w:szCs w:val="24"/>
        </w:rPr>
        <w:t>’</w:t>
      </w:r>
      <w:r w:rsidRPr="007D4DDF">
        <w:rPr>
          <w:szCs w:val="24"/>
        </w:rPr>
        <w:t xml:space="preserve"> and </w:t>
      </w:r>
      <w:r w:rsidR="007D643B" w:rsidRPr="007D4DDF">
        <w:rPr>
          <w:szCs w:val="24"/>
        </w:rPr>
        <w:t>‘</w:t>
      </w:r>
      <w:r w:rsidRPr="007D4DDF">
        <w:rPr>
          <w:szCs w:val="24"/>
        </w:rPr>
        <w:t>flexible</w:t>
      </w:r>
      <w:r w:rsidR="007D643B" w:rsidRPr="007D4DDF">
        <w:rPr>
          <w:szCs w:val="24"/>
        </w:rPr>
        <w:t>’</w:t>
      </w:r>
      <w:r w:rsidRPr="007D4DDF">
        <w:rPr>
          <w:szCs w:val="24"/>
        </w:rPr>
        <w:t xml:space="preserve"> tenancies. Caroline Hunter and Nicholas </w:t>
      </w:r>
      <w:proofErr w:type="spellStart"/>
      <w:r w:rsidRPr="007D4DDF">
        <w:rPr>
          <w:szCs w:val="24"/>
        </w:rPr>
        <w:t>Pleace</w:t>
      </w:r>
      <w:proofErr w:type="spellEnd"/>
      <w:r w:rsidRPr="007D4DDF">
        <w:rPr>
          <w:szCs w:val="24"/>
        </w:rPr>
        <w:t xml:space="preserve"> show that the UK courts have interpreted the obligations under Article 8 ECHR to consider the proportionality of any possession order in a somewhat narrow way, resisting the notion that this created any </w:t>
      </w:r>
      <w:r w:rsidR="007A7839">
        <w:rPr>
          <w:szCs w:val="24"/>
        </w:rPr>
        <w:t>‘</w:t>
      </w:r>
      <w:r w:rsidRPr="007D4DDF">
        <w:rPr>
          <w:szCs w:val="24"/>
        </w:rPr>
        <w:t>horizontal</w:t>
      </w:r>
      <w:r w:rsidR="007A7839">
        <w:rPr>
          <w:szCs w:val="24"/>
        </w:rPr>
        <w:t xml:space="preserve">’ </w:t>
      </w:r>
      <w:r w:rsidRPr="007D4DDF">
        <w:rPr>
          <w:szCs w:val="24"/>
        </w:rPr>
        <w:t xml:space="preserve">rights between a tenant and a landlord, except in </w:t>
      </w:r>
      <w:r w:rsidR="0000263C" w:rsidRPr="007D4DDF">
        <w:rPr>
          <w:szCs w:val="24"/>
        </w:rPr>
        <w:t>state</w:t>
      </w:r>
      <w:r w:rsidRPr="007D4DDF">
        <w:rPr>
          <w:szCs w:val="24"/>
        </w:rPr>
        <w:t xml:space="preserve"> tenancies. Michel Vols indicates</w:t>
      </w:r>
      <w:r w:rsidR="00A30391" w:rsidRPr="007D4DDF">
        <w:rPr>
          <w:szCs w:val="24"/>
        </w:rPr>
        <w:t xml:space="preserve"> </w:t>
      </w:r>
      <w:r w:rsidRPr="007D4DDF">
        <w:rPr>
          <w:szCs w:val="24"/>
        </w:rPr>
        <w:t xml:space="preserve">that </w:t>
      </w:r>
      <w:r w:rsidR="006A4CEE" w:rsidRPr="007D4DDF">
        <w:rPr>
          <w:szCs w:val="24"/>
        </w:rPr>
        <w:t xml:space="preserve">under </w:t>
      </w:r>
      <w:r w:rsidRPr="007D4DDF">
        <w:rPr>
          <w:szCs w:val="24"/>
        </w:rPr>
        <w:t>social housing eviction litigation in the Netherlands, requiring court assessment of proportionality, tenants do not successfully defe</w:t>
      </w:r>
      <w:r w:rsidR="006A4CEE" w:rsidRPr="007D4DDF">
        <w:rPr>
          <w:szCs w:val="24"/>
        </w:rPr>
        <w:t>nd these actions. In Ireland</w:t>
      </w:r>
      <w:r w:rsidRPr="007D4DDF">
        <w:rPr>
          <w:szCs w:val="24"/>
        </w:rPr>
        <w:t xml:space="preserve">, a small </w:t>
      </w:r>
      <w:r w:rsidR="00FE03D9" w:rsidRPr="007D4DDF">
        <w:rPr>
          <w:szCs w:val="24"/>
        </w:rPr>
        <w:t xml:space="preserve">portion </w:t>
      </w:r>
      <w:r w:rsidRPr="007D4DDF">
        <w:rPr>
          <w:szCs w:val="24"/>
        </w:rPr>
        <w:t xml:space="preserve">of social housing tenancies with approved housing bodies </w:t>
      </w:r>
      <w:r w:rsidR="00FE03D9" w:rsidRPr="007D4DDF">
        <w:rPr>
          <w:szCs w:val="24"/>
        </w:rPr>
        <w:t xml:space="preserve">has </w:t>
      </w:r>
      <w:r w:rsidRPr="007D4DDF">
        <w:rPr>
          <w:szCs w:val="24"/>
        </w:rPr>
        <w:t>been merged with the regulatory system for private rented tenancies.</w:t>
      </w:r>
      <w:r w:rsidR="00A30391" w:rsidRPr="007D4DDF">
        <w:rPr>
          <w:szCs w:val="24"/>
        </w:rPr>
        <w:t xml:space="preserve"> </w:t>
      </w:r>
      <w:r w:rsidRPr="007D4DDF">
        <w:rPr>
          <w:szCs w:val="24"/>
        </w:rPr>
        <w:t>In</w:t>
      </w:r>
      <w:r w:rsidR="00A30391" w:rsidRPr="007D4DDF">
        <w:rPr>
          <w:szCs w:val="24"/>
        </w:rPr>
        <w:t xml:space="preserve"> </w:t>
      </w:r>
      <w:r w:rsidRPr="007D4DDF">
        <w:rPr>
          <w:szCs w:val="24"/>
        </w:rPr>
        <w:t>Germany, the definition of social housing includes municipal housing and public</w:t>
      </w:r>
      <w:r w:rsidR="00FE03D9" w:rsidRPr="007D4DDF">
        <w:rPr>
          <w:szCs w:val="24"/>
        </w:rPr>
        <w:t>–</w:t>
      </w:r>
      <w:r w:rsidRPr="007D4DDF">
        <w:rPr>
          <w:szCs w:val="24"/>
        </w:rPr>
        <w:t>private arrangements involving development subsidies for cost-based tenancies of fifteen years</w:t>
      </w:r>
      <w:r w:rsidR="00FE03D9" w:rsidRPr="007D4DDF">
        <w:rPr>
          <w:szCs w:val="24"/>
        </w:rPr>
        <w:t>’</w:t>
      </w:r>
      <w:r w:rsidRPr="007D4DDF">
        <w:rPr>
          <w:szCs w:val="24"/>
        </w:rPr>
        <w:t xml:space="preserve"> duration to low-income households</w:t>
      </w:r>
      <w:r w:rsidR="004B47AB" w:rsidRPr="007D4DDF">
        <w:rPr>
          <w:szCs w:val="24"/>
        </w:rPr>
        <w:t>;</w:t>
      </w:r>
      <w:r w:rsidRPr="007D4DDF">
        <w:rPr>
          <w:szCs w:val="24"/>
        </w:rPr>
        <w:t xml:space="preserve"> thus</w:t>
      </w:r>
      <w:r w:rsidR="004B47AB" w:rsidRPr="007D4DDF">
        <w:rPr>
          <w:szCs w:val="24"/>
        </w:rPr>
        <w:t>,</w:t>
      </w:r>
      <w:r w:rsidRPr="007D4DDF">
        <w:rPr>
          <w:szCs w:val="24"/>
        </w:rPr>
        <w:t xml:space="preserve"> the law applying to private tenancies applies, as in Poland.</w:t>
      </w:r>
    </w:p>
    <w:p w14:paraId="6919CF9A" w14:textId="013EC177" w:rsidR="001A4592" w:rsidRPr="007D4DDF" w:rsidRDefault="001E783A" w:rsidP="00777703">
      <w:pPr>
        <w:pStyle w:val="Heading2"/>
        <w:spacing w:before="0" w:after="120" w:line="240" w:lineRule="auto"/>
        <w:ind w:left="1134" w:hanging="1134"/>
        <w:rPr>
          <w:rFonts w:ascii="Times New Roman" w:hAnsi="Times New Roman"/>
        </w:rPr>
      </w:pPr>
      <w:bookmarkStart w:id="19" w:name="_Toc508191207"/>
      <w:r w:rsidRPr="007D4DDF">
        <w:rPr>
          <w:rFonts w:ascii="Times New Roman" w:hAnsi="Times New Roman"/>
        </w:rPr>
        <w:t>b</w:t>
      </w:r>
      <w:r w:rsidR="004331ED">
        <w:rPr>
          <w:rFonts w:ascii="Times New Roman" w:hAnsi="Times New Roman"/>
        </w:rPr>
        <w:t xml:space="preserve"> </w:t>
      </w:r>
      <w:r w:rsidRPr="007D4DDF">
        <w:rPr>
          <w:rFonts w:ascii="Times New Roman" w:hAnsi="Times New Roman"/>
        </w:rPr>
        <w:t>4.9</w:t>
      </w:r>
      <w:r w:rsidR="004331ED">
        <w:rPr>
          <w:rFonts w:ascii="Times New Roman" w:hAnsi="Times New Roman"/>
        </w:rPr>
        <w:t xml:space="preserve"> </w:t>
      </w:r>
      <w:proofErr w:type="spellStart"/>
      <w:r w:rsidR="00395E14" w:rsidRPr="007D4DDF">
        <w:rPr>
          <w:rFonts w:ascii="Times New Roman" w:hAnsi="Times New Roman"/>
        </w:rPr>
        <w:t>em</w:t>
      </w:r>
      <w:proofErr w:type="spellEnd"/>
      <w:r w:rsidR="004331ED">
        <w:rPr>
          <w:rFonts w:ascii="Times New Roman" w:hAnsi="Times New Roman"/>
        </w:rPr>
        <w:t xml:space="preserve"> </w:t>
      </w:r>
      <w:r w:rsidR="002820CB" w:rsidRPr="007D4DDF">
        <w:rPr>
          <w:rFonts w:ascii="Times New Roman" w:hAnsi="Times New Roman"/>
        </w:rPr>
        <w:t xml:space="preserve">Law </w:t>
      </w:r>
      <w:r w:rsidRPr="007D4DDF">
        <w:rPr>
          <w:rFonts w:ascii="Times New Roman" w:hAnsi="Times New Roman"/>
        </w:rPr>
        <w:t>R</w:t>
      </w:r>
      <w:r w:rsidR="002820CB" w:rsidRPr="007D4DDF">
        <w:rPr>
          <w:rFonts w:ascii="Times New Roman" w:hAnsi="Times New Roman"/>
        </w:rPr>
        <w:t xml:space="preserve">elating to </w:t>
      </w:r>
      <w:r w:rsidR="009134ED" w:rsidRPr="007D4DDF">
        <w:rPr>
          <w:rFonts w:ascii="Times New Roman" w:hAnsi="Times New Roman"/>
        </w:rPr>
        <w:t>Unauthori</w:t>
      </w:r>
      <w:r w:rsidR="009134ED">
        <w:rPr>
          <w:rFonts w:ascii="Times New Roman" w:hAnsi="Times New Roman"/>
        </w:rPr>
        <w:t>z</w:t>
      </w:r>
      <w:r w:rsidR="009134ED" w:rsidRPr="007D4DDF">
        <w:rPr>
          <w:rFonts w:ascii="Times New Roman" w:hAnsi="Times New Roman"/>
        </w:rPr>
        <w:t xml:space="preserve">ed </w:t>
      </w:r>
      <w:r w:rsidRPr="007D4DDF">
        <w:rPr>
          <w:rFonts w:ascii="Times New Roman" w:hAnsi="Times New Roman"/>
        </w:rPr>
        <w:t>O</w:t>
      </w:r>
      <w:r w:rsidR="002820CB" w:rsidRPr="007D4DDF">
        <w:rPr>
          <w:rFonts w:ascii="Times New Roman" w:hAnsi="Times New Roman"/>
        </w:rPr>
        <w:t>ccupancy</w:t>
      </w:r>
      <w:bookmarkEnd w:id="19"/>
    </w:p>
    <w:p w14:paraId="1E3E2AAD" w14:textId="77777777" w:rsidR="001A4592" w:rsidRPr="007D4DDF" w:rsidRDefault="002820CB" w:rsidP="00395E14">
      <w:pPr>
        <w:spacing w:before="0" w:after="120" w:line="240" w:lineRule="auto"/>
        <w:rPr>
          <w:szCs w:val="24"/>
        </w:rPr>
      </w:pPr>
      <w:r w:rsidRPr="007D4DDF">
        <w:rPr>
          <w:szCs w:val="24"/>
        </w:rPr>
        <w:t xml:space="preserve">Generally, the law relating </w:t>
      </w:r>
      <w:r w:rsidR="004B47AB" w:rsidRPr="007D4DDF">
        <w:rPr>
          <w:szCs w:val="24"/>
        </w:rPr>
        <w:t xml:space="preserve">to </w:t>
      </w:r>
      <w:r w:rsidR="006A4CEE" w:rsidRPr="007D4DDF">
        <w:rPr>
          <w:szCs w:val="24"/>
        </w:rPr>
        <w:t xml:space="preserve">evictions from </w:t>
      </w:r>
      <w:r w:rsidR="009134ED" w:rsidRPr="007D4DDF">
        <w:rPr>
          <w:szCs w:val="24"/>
        </w:rPr>
        <w:t>unauthori</w:t>
      </w:r>
      <w:r w:rsidR="009134ED">
        <w:rPr>
          <w:szCs w:val="24"/>
        </w:rPr>
        <w:t>z</w:t>
      </w:r>
      <w:r w:rsidR="009134ED" w:rsidRPr="007D4DDF">
        <w:rPr>
          <w:szCs w:val="24"/>
        </w:rPr>
        <w:t xml:space="preserve">ed </w:t>
      </w:r>
      <w:r w:rsidRPr="007D4DDF">
        <w:rPr>
          <w:szCs w:val="24"/>
        </w:rPr>
        <w:t>occupancy</w:t>
      </w:r>
      <w:r w:rsidR="006A4CEE" w:rsidRPr="007D4DDF">
        <w:rPr>
          <w:szCs w:val="24"/>
        </w:rPr>
        <w:t xml:space="preserve"> </w:t>
      </w:r>
      <w:r w:rsidR="007B73B7" w:rsidRPr="007D4DDF">
        <w:rPr>
          <w:szCs w:val="24"/>
        </w:rPr>
        <w:t xml:space="preserve">has </w:t>
      </w:r>
      <w:r w:rsidRPr="007D4DDF">
        <w:rPr>
          <w:szCs w:val="24"/>
        </w:rPr>
        <w:t>two elements. Firstly</w:t>
      </w:r>
      <w:r w:rsidR="007A7839">
        <w:rPr>
          <w:szCs w:val="24"/>
        </w:rPr>
        <w:t xml:space="preserve">, it can involve </w:t>
      </w:r>
      <w:r w:rsidRPr="007D4DDF">
        <w:rPr>
          <w:szCs w:val="24"/>
        </w:rPr>
        <w:t>eviction from individually o</w:t>
      </w:r>
      <w:r w:rsidR="007A7839">
        <w:rPr>
          <w:szCs w:val="24"/>
        </w:rPr>
        <w:t>wned</w:t>
      </w:r>
      <w:r w:rsidRPr="007D4DDF">
        <w:rPr>
          <w:szCs w:val="24"/>
        </w:rPr>
        <w:t xml:space="preserve"> property by persons known or unknown. A mix of property </w:t>
      </w:r>
      <w:r w:rsidR="005D7F92" w:rsidRPr="007D4DDF">
        <w:rPr>
          <w:szCs w:val="24"/>
        </w:rPr>
        <w:t xml:space="preserve">law </w:t>
      </w:r>
      <w:r w:rsidRPr="007D4DDF">
        <w:rPr>
          <w:szCs w:val="24"/>
        </w:rPr>
        <w:t xml:space="preserve">and criminal law operates in all countries </w:t>
      </w:r>
      <w:r w:rsidR="00472722" w:rsidRPr="007D4DDF">
        <w:rPr>
          <w:szCs w:val="24"/>
        </w:rPr>
        <w:t xml:space="preserve">and </w:t>
      </w:r>
      <w:r w:rsidRPr="007D4DDF">
        <w:rPr>
          <w:szCs w:val="24"/>
        </w:rPr>
        <w:t>involves the removal of the occupants, usually</w:t>
      </w:r>
      <w:r w:rsidR="006A4CEE" w:rsidRPr="007D4DDF">
        <w:rPr>
          <w:szCs w:val="24"/>
        </w:rPr>
        <w:t>,</w:t>
      </w:r>
      <w:r w:rsidRPr="007D4DDF">
        <w:rPr>
          <w:szCs w:val="24"/>
        </w:rPr>
        <w:t xml:space="preserve"> but not always</w:t>
      </w:r>
      <w:r w:rsidR="006A4CEE" w:rsidRPr="007D4DDF">
        <w:rPr>
          <w:szCs w:val="24"/>
        </w:rPr>
        <w:t>,</w:t>
      </w:r>
      <w:r w:rsidRPr="007D4DDF">
        <w:rPr>
          <w:szCs w:val="24"/>
        </w:rPr>
        <w:t xml:space="preserve"> after a court hearing. In the second instance, large settlements of people, often Roma, Sinti, Travellers or migrants, in </w:t>
      </w:r>
      <w:r w:rsidR="009134ED" w:rsidRPr="007D4DDF">
        <w:rPr>
          <w:szCs w:val="24"/>
        </w:rPr>
        <w:t>unauthori</w:t>
      </w:r>
      <w:r w:rsidR="009134ED">
        <w:rPr>
          <w:szCs w:val="24"/>
        </w:rPr>
        <w:t>z</w:t>
      </w:r>
      <w:r w:rsidR="009134ED" w:rsidRPr="007D4DDF">
        <w:rPr>
          <w:szCs w:val="24"/>
        </w:rPr>
        <w:t xml:space="preserve">ed </w:t>
      </w:r>
      <w:r w:rsidRPr="007D4DDF">
        <w:rPr>
          <w:szCs w:val="24"/>
        </w:rPr>
        <w:t xml:space="preserve">encampments </w:t>
      </w:r>
      <w:r w:rsidR="001E1533" w:rsidRPr="007D4DDF">
        <w:rPr>
          <w:szCs w:val="24"/>
        </w:rPr>
        <w:t xml:space="preserve">in </w:t>
      </w:r>
      <w:r w:rsidRPr="007D4DDF">
        <w:rPr>
          <w:szCs w:val="24"/>
        </w:rPr>
        <w:t xml:space="preserve">districts are mostly tolerated by </w:t>
      </w:r>
      <w:r w:rsidR="0000263C" w:rsidRPr="007D4DDF">
        <w:rPr>
          <w:szCs w:val="24"/>
        </w:rPr>
        <w:t>state</w:t>
      </w:r>
      <w:r w:rsidRPr="007D4DDF">
        <w:rPr>
          <w:szCs w:val="24"/>
        </w:rPr>
        <w:t xml:space="preserve"> authorities. However, there are instances of evictions of these groups and indeed, such evictions have been examined for compatibility with the ECHR.</w:t>
      </w:r>
      <w:r w:rsidRPr="007D4DDF">
        <w:rPr>
          <w:rStyle w:val="FootnoteReference"/>
          <w:szCs w:val="24"/>
        </w:rPr>
        <w:footnoteReference w:id="156"/>
      </w:r>
    </w:p>
    <w:p w14:paraId="51F7FF9F" w14:textId="77777777" w:rsidR="001A4592" w:rsidRPr="007D4DDF" w:rsidRDefault="002820CB" w:rsidP="00777703">
      <w:pPr>
        <w:spacing w:before="0" w:after="120" w:line="240" w:lineRule="auto"/>
        <w:rPr>
          <w:szCs w:val="24"/>
        </w:rPr>
      </w:pPr>
      <w:r w:rsidRPr="007D4DDF">
        <w:rPr>
          <w:szCs w:val="24"/>
        </w:rPr>
        <w:t xml:space="preserve">Inviolability of the dwelling protects against arbitrary evictions by the property owner, but where squatters are not identifiable a speedy eviction process is usually </w:t>
      </w:r>
      <w:r w:rsidR="009134ED" w:rsidRPr="007D4DDF">
        <w:rPr>
          <w:szCs w:val="24"/>
        </w:rPr>
        <w:t>authori</w:t>
      </w:r>
      <w:r w:rsidR="009134ED">
        <w:rPr>
          <w:szCs w:val="24"/>
        </w:rPr>
        <w:t>z</w:t>
      </w:r>
      <w:r w:rsidR="009134ED" w:rsidRPr="007D4DDF">
        <w:rPr>
          <w:szCs w:val="24"/>
        </w:rPr>
        <w:t xml:space="preserve">ed </w:t>
      </w:r>
      <w:r w:rsidRPr="007D4DDF">
        <w:rPr>
          <w:szCs w:val="24"/>
        </w:rPr>
        <w:t>by a</w:t>
      </w:r>
      <w:r w:rsidR="00A30391" w:rsidRPr="007D4DDF">
        <w:rPr>
          <w:szCs w:val="24"/>
        </w:rPr>
        <w:t xml:space="preserve"> </w:t>
      </w:r>
      <w:r w:rsidRPr="007D4DDF">
        <w:rPr>
          <w:szCs w:val="24"/>
        </w:rPr>
        <w:t xml:space="preserve">court of first instance. The laws on </w:t>
      </w:r>
      <w:r w:rsidR="001D6E31" w:rsidRPr="007D4DDF">
        <w:rPr>
          <w:szCs w:val="24"/>
        </w:rPr>
        <w:t>‘</w:t>
      </w:r>
      <w:r w:rsidRPr="007D4DDF">
        <w:rPr>
          <w:szCs w:val="24"/>
        </w:rPr>
        <w:t>no eviction to nowhere</w:t>
      </w:r>
      <w:r w:rsidR="001D6E31" w:rsidRPr="007D4DDF">
        <w:rPr>
          <w:szCs w:val="24"/>
        </w:rPr>
        <w:t>’</w:t>
      </w:r>
      <w:r w:rsidRPr="007D4DDF">
        <w:rPr>
          <w:szCs w:val="24"/>
        </w:rPr>
        <w:t xml:space="preserve"> in Poland do not apply to squatters. In Italy, where almost 5 per cent</w:t>
      </w:r>
      <w:r w:rsidR="00A30391" w:rsidRPr="007D4DDF">
        <w:rPr>
          <w:szCs w:val="24"/>
        </w:rPr>
        <w:t xml:space="preserve"> </w:t>
      </w:r>
      <w:r w:rsidRPr="007D4DDF">
        <w:rPr>
          <w:szCs w:val="24"/>
        </w:rPr>
        <w:t>of public buildings are squatted, particularly in southern Italian cities, legislation dating from</w:t>
      </w:r>
      <w:r w:rsidR="00A30391" w:rsidRPr="007D4DDF">
        <w:rPr>
          <w:szCs w:val="24"/>
        </w:rPr>
        <w:t xml:space="preserve"> </w:t>
      </w:r>
      <w:r w:rsidRPr="007D4DDF">
        <w:rPr>
          <w:szCs w:val="24"/>
        </w:rPr>
        <w:t xml:space="preserve">2014 seeks to prevent </w:t>
      </w:r>
      <w:r w:rsidR="009134ED" w:rsidRPr="007D4DDF">
        <w:rPr>
          <w:szCs w:val="24"/>
        </w:rPr>
        <w:t>unauthori</w:t>
      </w:r>
      <w:r w:rsidR="009134ED">
        <w:rPr>
          <w:szCs w:val="24"/>
        </w:rPr>
        <w:t>z</w:t>
      </w:r>
      <w:r w:rsidR="009134ED" w:rsidRPr="007D4DDF">
        <w:rPr>
          <w:szCs w:val="24"/>
        </w:rPr>
        <w:t xml:space="preserve">ed </w:t>
      </w:r>
      <w:r w:rsidRPr="007D4DDF">
        <w:rPr>
          <w:szCs w:val="24"/>
        </w:rPr>
        <w:t>occupiers from using public services such as energy or telephone. However, the eviction process is lengthy and there are few evictions, which usually require</w:t>
      </w:r>
      <w:r w:rsidR="007A7839">
        <w:rPr>
          <w:szCs w:val="24"/>
        </w:rPr>
        <w:t>s</w:t>
      </w:r>
      <w:r w:rsidRPr="007D4DDF">
        <w:rPr>
          <w:szCs w:val="24"/>
        </w:rPr>
        <w:t xml:space="preserve"> police intervention.</w:t>
      </w:r>
    </w:p>
    <w:p w14:paraId="32164942" w14:textId="77777777" w:rsidR="001A4592" w:rsidRPr="007D4DDF" w:rsidRDefault="002820CB" w:rsidP="00777703">
      <w:pPr>
        <w:spacing w:before="0" w:after="120" w:line="240" w:lineRule="auto"/>
        <w:rPr>
          <w:szCs w:val="24"/>
        </w:rPr>
      </w:pPr>
      <w:r w:rsidRPr="007D4DDF">
        <w:rPr>
          <w:szCs w:val="24"/>
        </w:rPr>
        <w:lastRenderedPageBreak/>
        <w:t>Squatting is considered a criminal law issue in Spain, although social movements, such as PAH</w:t>
      </w:r>
      <w:r w:rsidR="008D0B70" w:rsidRPr="007D4DDF">
        <w:rPr>
          <w:szCs w:val="24"/>
        </w:rPr>
        <w:t>,</w:t>
      </w:r>
      <w:r w:rsidR="001D6E31" w:rsidRPr="007D4DDF">
        <w:rPr>
          <w:rStyle w:val="FootnoteReference"/>
          <w:szCs w:val="24"/>
        </w:rPr>
        <w:footnoteReference w:id="157"/>
      </w:r>
      <w:r w:rsidRPr="007D4DDF">
        <w:rPr>
          <w:szCs w:val="24"/>
        </w:rPr>
        <w:t xml:space="preserve"> have been encouraging people in mortgage arrears to </w:t>
      </w:r>
      <w:r w:rsidR="006A4CEE" w:rsidRPr="007D4DDF">
        <w:rPr>
          <w:szCs w:val="24"/>
        </w:rPr>
        <w:t xml:space="preserve">squat </w:t>
      </w:r>
      <w:r w:rsidRPr="007D4DDF">
        <w:rPr>
          <w:szCs w:val="24"/>
        </w:rPr>
        <w:t>empty bank-owned properties, as a means of negotiation. There are also some 10</w:t>
      </w:r>
      <w:r w:rsidR="006B1C06" w:rsidRPr="007D4DDF">
        <w:rPr>
          <w:szCs w:val="24"/>
        </w:rPr>
        <w:t xml:space="preserve"> </w:t>
      </w:r>
      <w:r w:rsidRPr="007D4DDF">
        <w:rPr>
          <w:szCs w:val="24"/>
        </w:rPr>
        <w:t>000 temporary dwellings occupied by Roma. Indeed, in Italy, Spain and Slovenia, there are unauthori</w:t>
      </w:r>
      <w:r w:rsidR="009134ED">
        <w:rPr>
          <w:szCs w:val="24"/>
        </w:rPr>
        <w:t>z</w:t>
      </w:r>
      <w:r w:rsidRPr="007D4DDF">
        <w:rPr>
          <w:szCs w:val="24"/>
        </w:rPr>
        <w:t xml:space="preserve">ed settlements of Roma, Sinti or </w:t>
      </w:r>
      <w:proofErr w:type="spellStart"/>
      <w:r w:rsidRPr="007D4DDF">
        <w:rPr>
          <w:szCs w:val="24"/>
        </w:rPr>
        <w:t>Caminanti</w:t>
      </w:r>
      <w:proofErr w:type="spellEnd"/>
      <w:r w:rsidRPr="007D4DDF">
        <w:rPr>
          <w:szCs w:val="24"/>
        </w:rPr>
        <w:t>, with some camps of 40</w:t>
      </w:r>
      <w:r w:rsidR="005E690C" w:rsidRPr="007D4DDF">
        <w:rPr>
          <w:szCs w:val="24"/>
        </w:rPr>
        <w:t xml:space="preserve"> </w:t>
      </w:r>
      <w:r w:rsidRPr="007D4DDF">
        <w:rPr>
          <w:szCs w:val="24"/>
        </w:rPr>
        <w:t>000 people or more, which are tolerated by the public authorities.</w:t>
      </w:r>
    </w:p>
    <w:p w14:paraId="1C05424B" w14:textId="633BAD2A" w:rsidR="001A4592" w:rsidRPr="007D4DDF" w:rsidRDefault="007B6AC1" w:rsidP="00777703">
      <w:pPr>
        <w:pStyle w:val="Heading2"/>
        <w:spacing w:before="0" w:after="120" w:line="240" w:lineRule="auto"/>
        <w:ind w:left="1134" w:hanging="1134"/>
        <w:rPr>
          <w:rFonts w:ascii="Times New Roman" w:hAnsi="Times New Roman"/>
        </w:rPr>
      </w:pPr>
      <w:bookmarkStart w:id="20" w:name="_Toc508191208"/>
      <w:r w:rsidRPr="007D4DDF">
        <w:rPr>
          <w:rFonts w:ascii="Times New Roman" w:hAnsi="Times New Roman"/>
        </w:rPr>
        <w:t>4.10</w:t>
      </w:r>
      <w:r w:rsidR="006E160F">
        <w:rPr>
          <w:rFonts w:ascii="Times New Roman" w:hAnsi="Times New Roman"/>
        </w:rPr>
        <w:t xml:space="preserve">. </w:t>
      </w:r>
      <w:r w:rsidR="002820CB" w:rsidRPr="007D4DDF">
        <w:rPr>
          <w:rFonts w:ascii="Times New Roman" w:hAnsi="Times New Roman"/>
        </w:rPr>
        <w:t xml:space="preserve">Law </w:t>
      </w:r>
      <w:r w:rsidRPr="007D4DDF">
        <w:rPr>
          <w:rFonts w:ascii="Times New Roman" w:hAnsi="Times New Roman"/>
        </w:rPr>
        <w:t>R</w:t>
      </w:r>
      <w:r w:rsidR="002820CB" w:rsidRPr="007D4DDF">
        <w:rPr>
          <w:rFonts w:ascii="Times New Roman" w:hAnsi="Times New Roman"/>
        </w:rPr>
        <w:t xml:space="preserve">elating to </w:t>
      </w:r>
      <w:r w:rsidRPr="007D4DDF">
        <w:rPr>
          <w:rFonts w:ascii="Times New Roman" w:hAnsi="Times New Roman"/>
        </w:rPr>
        <w:t>T</w:t>
      </w:r>
      <w:r w:rsidR="002820CB" w:rsidRPr="007D4DDF">
        <w:rPr>
          <w:rFonts w:ascii="Times New Roman" w:hAnsi="Times New Roman"/>
        </w:rPr>
        <w:t xml:space="preserve">emporary </w:t>
      </w:r>
      <w:r w:rsidRPr="007D4DDF">
        <w:rPr>
          <w:rFonts w:ascii="Times New Roman" w:hAnsi="Times New Roman"/>
        </w:rPr>
        <w:t>D</w:t>
      </w:r>
      <w:r w:rsidR="002820CB" w:rsidRPr="007D4DDF">
        <w:rPr>
          <w:rFonts w:ascii="Times New Roman" w:hAnsi="Times New Roman"/>
        </w:rPr>
        <w:t xml:space="preserve">ispossession – </w:t>
      </w:r>
      <w:r w:rsidRPr="007D4DDF">
        <w:rPr>
          <w:rFonts w:ascii="Times New Roman" w:hAnsi="Times New Roman"/>
        </w:rPr>
        <w:t>D</w:t>
      </w:r>
      <w:r w:rsidR="002820CB" w:rsidRPr="007D4DDF">
        <w:rPr>
          <w:rFonts w:ascii="Times New Roman" w:hAnsi="Times New Roman"/>
        </w:rPr>
        <w:t xml:space="preserve">omestic </w:t>
      </w:r>
      <w:r w:rsidRPr="007D4DDF">
        <w:rPr>
          <w:rFonts w:ascii="Times New Roman" w:hAnsi="Times New Roman"/>
        </w:rPr>
        <w:t>V</w:t>
      </w:r>
      <w:r w:rsidR="002820CB" w:rsidRPr="007D4DDF">
        <w:rPr>
          <w:rFonts w:ascii="Times New Roman" w:hAnsi="Times New Roman"/>
        </w:rPr>
        <w:t xml:space="preserve">iolence, </w:t>
      </w:r>
      <w:r w:rsidRPr="007D4DDF">
        <w:rPr>
          <w:rFonts w:ascii="Times New Roman" w:hAnsi="Times New Roman"/>
        </w:rPr>
        <w:t>U</w:t>
      </w:r>
      <w:r w:rsidR="002820CB" w:rsidRPr="007D4DDF">
        <w:rPr>
          <w:rFonts w:ascii="Times New Roman" w:hAnsi="Times New Roman"/>
        </w:rPr>
        <w:t xml:space="preserve">rban </w:t>
      </w:r>
      <w:r w:rsidRPr="007D4DDF">
        <w:rPr>
          <w:rFonts w:ascii="Times New Roman" w:hAnsi="Times New Roman"/>
        </w:rPr>
        <w:t>D</w:t>
      </w:r>
      <w:r w:rsidR="002820CB" w:rsidRPr="007D4DDF">
        <w:rPr>
          <w:rFonts w:ascii="Times New Roman" w:hAnsi="Times New Roman"/>
        </w:rPr>
        <w:t xml:space="preserve">evelopment and </w:t>
      </w:r>
      <w:r w:rsidRPr="007D4DDF">
        <w:rPr>
          <w:rFonts w:ascii="Times New Roman" w:hAnsi="Times New Roman"/>
        </w:rPr>
        <w:t>O</w:t>
      </w:r>
      <w:r w:rsidR="002820CB" w:rsidRPr="007D4DDF">
        <w:rPr>
          <w:rFonts w:ascii="Times New Roman" w:hAnsi="Times New Roman"/>
        </w:rPr>
        <w:t xml:space="preserve">ther </w:t>
      </w:r>
      <w:r w:rsidRPr="007D4DDF">
        <w:rPr>
          <w:rFonts w:ascii="Times New Roman" w:hAnsi="Times New Roman"/>
        </w:rPr>
        <w:t>I</w:t>
      </w:r>
      <w:r w:rsidR="002820CB" w:rsidRPr="007D4DDF">
        <w:rPr>
          <w:rFonts w:ascii="Times New Roman" w:hAnsi="Times New Roman"/>
        </w:rPr>
        <w:t>ssues</w:t>
      </w:r>
      <w:bookmarkEnd w:id="20"/>
    </w:p>
    <w:p w14:paraId="10CCFE82" w14:textId="77777777" w:rsidR="001A4592" w:rsidRPr="007D4DDF" w:rsidRDefault="002820CB" w:rsidP="00395E14">
      <w:pPr>
        <w:spacing w:before="0" w:after="120" w:line="240" w:lineRule="auto"/>
        <w:rPr>
          <w:szCs w:val="24"/>
        </w:rPr>
      </w:pPr>
      <w:r w:rsidRPr="007D4DDF">
        <w:rPr>
          <w:szCs w:val="24"/>
        </w:rPr>
        <w:t>In all</w:t>
      </w:r>
      <w:r w:rsidR="006A4CEE" w:rsidRPr="007D4DDF">
        <w:rPr>
          <w:szCs w:val="24"/>
        </w:rPr>
        <w:t xml:space="preserve"> eleven</w:t>
      </w:r>
      <w:r w:rsidRPr="007D4DDF">
        <w:rPr>
          <w:szCs w:val="24"/>
        </w:rPr>
        <w:t xml:space="preserve"> countries </w:t>
      </w:r>
      <w:r w:rsidR="006A4CEE" w:rsidRPr="007D4DDF">
        <w:rPr>
          <w:szCs w:val="24"/>
        </w:rPr>
        <w:t xml:space="preserve">examined, </w:t>
      </w:r>
      <w:r w:rsidRPr="007D4DDF">
        <w:rPr>
          <w:szCs w:val="24"/>
        </w:rPr>
        <w:t>legislation provides that abusive partners can be excluded from the dwelling. The situation in cases of divorce or relationship breakdown is more protracted, but generally the party with custody of any children retains the right to occupancy of the dwelling</w:t>
      </w:r>
      <w:r w:rsidR="006A4CEE" w:rsidRPr="007D4DDF">
        <w:rPr>
          <w:szCs w:val="24"/>
        </w:rPr>
        <w:t>,</w:t>
      </w:r>
      <w:r w:rsidRPr="007D4DDF">
        <w:rPr>
          <w:szCs w:val="24"/>
        </w:rPr>
        <w:t xml:space="preserve"> with the other party being excluded. Sergio </w:t>
      </w:r>
      <w:proofErr w:type="spellStart"/>
      <w:r w:rsidRPr="007D4DDF">
        <w:rPr>
          <w:szCs w:val="24"/>
        </w:rPr>
        <w:t>Nasarre</w:t>
      </w:r>
      <w:proofErr w:type="spellEnd"/>
      <w:r w:rsidR="00112951" w:rsidRPr="007D4DDF">
        <w:rPr>
          <w:szCs w:val="24"/>
        </w:rPr>
        <w:t>-</w:t>
      </w:r>
      <w:r w:rsidRPr="007D4DDF">
        <w:rPr>
          <w:szCs w:val="24"/>
        </w:rPr>
        <w:t xml:space="preserve">Aznar and Rosa Maria Garcia </w:t>
      </w:r>
      <w:proofErr w:type="spellStart"/>
      <w:r w:rsidRPr="007D4DDF">
        <w:rPr>
          <w:szCs w:val="24"/>
        </w:rPr>
        <w:t>Teruel</w:t>
      </w:r>
      <w:proofErr w:type="spellEnd"/>
      <w:r w:rsidRPr="007D4DDF">
        <w:rPr>
          <w:szCs w:val="24"/>
        </w:rPr>
        <w:t xml:space="preserve"> estimate that there are almost 100</w:t>
      </w:r>
      <w:r w:rsidR="005E690C" w:rsidRPr="007D4DDF">
        <w:rPr>
          <w:szCs w:val="24"/>
        </w:rPr>
        <w:t xml:space="preserve"> </w:t>
      </w:r>
      <w:r w:rsidRPr="007D4DDF">
        <w:rPr>
          <w:szCs w:val="24"/>
        </w:rPr>
        <w:t>000 male partners in divorce cases seeking new accommodation annually</w:t>
      </w:r>
      <w:r w:rsidR="006A4CEE" w:rsidRPr="007D4DDF">
        <w:rPr>
          <w:szCs w:val="24"/>
        </w:rPr>
        <w:t xml:space="preserve"> in Spain</w:t>
      </w:r>
      <w:r w:rsidRPr="007D4DDF">
        <w:rPr>
          <w:szCs w:val="24"/>
        </w:rPr>
        <w:t>.</w:t>
      </w:r>
    </w:p>
    <w:p w14:paraId="234C6ABD" w14:textId="77777777" w:rsidR="001A4592" w:rsidRPr="007D4DDF" w:rsidRDefault="002820CB" w:rsidP="00777703">
      <w:pPr>
        <w:spacing w:before="0" w:after="120" w:line="240" w:lineRule="auto"/>
        <w:rPr>
          <w:szCs w:val="24"/>
        </w:rPr>
      </w:pPr>
      <w:r w:rsidRPr="007D4DDF">
        <w:rPr>
          <w:szCs w:val="24"/>
        </w:rPr>
        <w:t>The temporary closures of buildings by public authorities on g</w:t>
      </w:r>
      <w:r w:rsidR="006A4CEE" w:rsidRPr="007D4DDF">
        <w:rPr>
          <w:szCs w:val="24"/>
        </w:rPr>
        <w:t>r</w:t>
      </w:r>
      <w:r w:rsidRPr="007D4DDF">
        <w:rPr>
          <w:szCs w:val="24"/>
        </w:rPr>
        <w:t>ounds of breach of building codes, nuisance or crime has been highlighted by Michel Vols as significant in the Netherlands</w:t>
      </w:r>
      <w:r w:rsidR="006A4CEE" w:rsidRPr="007D4DDF">
        <w:rPr>
          <w:szCs w:val="24"/>
        </w:rPr>
        <w:t xml:space="preserve">. Surprisingly, </w:t>
      </w:r>
      <w:r w:rsidR="001E1533" w:rsidRPr="007D4DDF">
        <w:rPr>
          <w:szCs w:val="24"/>
        </w:rPr>
        <w:t xml:space="preserve">these </w:t>
      </w:r>
      <w:r w:rsidRPr="007D4DDF">
        <w:rPr>
          <w:szCs w:val="24"/>
        </w:rPr>
        <w:t>ground</w:t>
      </w:r>
      <w:r w:rsidR="001E1533" w:rsidRPr="007D4DDF">
        <w:rPr>
          <w:szCs w:val="24"/>
        </w:rPr>
        <w:t>s are</w:t>
      </w:r>
      <w:r w:rsidRPr="007D4DDF">
        <w:rPr>
          <w:szCs w:val="24"/>
        </w:rPr>
        <w:t xml:space="preserve"> used to close down 200 buildings per year and </w:t>
      </w:r>
      <w:r w:rsidR="005E690C" w:rsidRPr="007D4DDF">
        <w:rPr>
          <w:szCs w:val="24"/>
        </w:rPr>
        <w:t xml:space="preserve">to </w:t>
      </w:r>
      <w:r w:rsidRPr="007D4DDF">
        <w:rPr>
          <w:szCs w:val="24"/>
        </w:rPr>
        <w:t xml:space="preserve">evict those involved in drug-related crime or cannabis cultivation. In Spain, the declaration of ruin of buildings by the </w:t>
      </w:r>
      <w:r w:rsidR="0000263C" w:rsidRPr="007D4DDF">
        <w:rPr>
          <w:szCs w:val="24"/>
        </w:rPr>
        <w:t>state</w:t>
      </w:r>
      <w:r w:rsidRPr="007D4DDF">
        <w:rPr>
          <w:szCs w:val="24"/>
        </w:rPr>
        <w:t xml:space="preserve"> administration can result in occupiers being forced to leave, while recorded evictions from unauthori</w:t>
      </w:r>
      <w:r w:rsidR="009134ED">
        <w:rPr>
          <w:szCs w:val="24"/>
        </w:rPr>
        <w:t>z</w:t>
      </w:r>
      <w:r w:rsidRPr="007D4DDF">
        <w:rPr>
          <w:szCs w:val="24"/>
        </w:rPr>
        <w:t xml:space="preserve">ed occupancies range between 2500 and 3000 per annum, according to Sergio </w:t>
      </w:r>
      <w:proofErr w:type="spellStart"/>
      <w:r w:rsidRPr="007D4DDF">
        <w:rPr>
          <w:szCs w:val="24"/>
        </w:rPr>
        <w:t>Nasarre</w:t>
      </w:r>
      <w:proofErr w:type="spellEnd"/>
      <w:r w:rsidR="00112951" w:rsidRPr="007D4DDF">
        <w:rPr>
          <w:szCs w:val="24"/>
        </w:rPr>
        <w:t>-</w:t>
      </w:r>
      <w:r w:rsidRPr="007D4DDF">
        <w:rPr>
          <w:szCs w:val="24"/>
        </w:rPr>
        <w:t xml:space="preserve">Aznar and Rosa Maria Garcia </w:t>
      </w:r>
      <w:proofErr w:type="spellStart"/>
      <w:r w:rsidRPr="007D4DDF">
        <w:rPr>
          <w:szCs w:val="24"/>
        </w:rPr>
        <w:t>Teruel</w:t>
      </w:r>
      <w:proofErr w:type="spellEnd"/>
      <w:r w:rsidRPr="007D4DDF">
        <w:rPr>
          <w:szCs w:val="24"/>
        </w:rPr>
        <w:t>.</w:t>
      </w:r>
    </w:p>
    <w:p w14:paraId="45A7A043" w14:textId="77777777" w:rsidR="001A4592" w:rsidRPr="007D4DDF" w:rsidRDefault="002820CB" w:rsidP="00777703">
      <w:pPr>
        <w:spacing w:before="0" w:after="120" w:line="240" w:lineRule="auto"/>
        <w:rPr>
          <w:szCs w:val="24"/>
        </w:rPr>
      </w:pPr>
      <w:r w:rsidRPr="007D4DDF">
        <w:rPr>
          <w:szCs w:val="24"/>
        </w:rPr>
        <w:t xml:space="preserve">In Slovenia, as well as </w:t>
      </w:r>
      <w:r w:rsidR="001E1533" w:rsidRPr="007D4DDF">
        <w:rPr>
          <w:szCs w:val="24"/>
        </w:rPr>
        <w:t xml:space="preserve">in </w:t>
      </w:r>
      <w:r w:rsidRPr="007D4DDF">
        <w:rPr>
          <w:szCs w:val="24"/>
        </w:rPr>
        <w:t>Poland and Hungary, those living in denational</w:t>
      </w:r>
      <w:r w:rsidR="009134ED">
        <w:rPr>
          <w:szCs w:val="24"/>
        </w:rPr>
        <w:t>iz</w:t>
      </w:r>
      <w:r w:rsidRPr="007D4DDF">
        <w:rPr>
          <w:szCs w:val="24"/>
        </w:rPr>
        <w:t>ed dwellings face an increased risk of eviction</w:t>
      </w:r>
      <w:r w:rsidR="007A7839">
        <w:rPr>
          <w:szCs w:val="24"/>
        </w:rPr>
        <w:t xml:space="preserve"> with title restored to the heirs of former owners who wish to convert or sell the property.</w:t>
      </w:r>
      <w:r w:rsidRPr="007D4DDF">
        <w:rPr>
          <w:szCs w:val="24"/>
        </w:rPr>
        <w:t xml:space="preserve"> Changes in tenancy protection and increases in rents make these occupancies less secure than other tenancies and this has been held in some cases to amount to a breach of the European Social Charter</w:t>
      </w:r>
      <w:r w:rsidR="007A7839">
        <w:rPr>
          <w:szCs w:val="24"/>
        </w:rPr>
        <w:t xml:space="preserve"> housing rights protection.</w:t>
      </w:r>
      <w:r w:rsidRPr="007D4DDF">
        <w:rPr>
          <w:rStyle w:val="FootnoteReference"/>
          <w:szCs w:val="24"/>
        </w:rPr>
        <w:footnoteReference w:id="158"/>
      </w:r>
    </w:p>
    <w:p w14:paraId="4ABC0EBE" w14:textId="34AAC495" w:rsidR="001A4592" w:rsidRPr="007D4DDF" w:rsidRDefault="006D207B" w:rsidP="008B1CB3">
      <w:pPr>
        <w:pStyle w:val="Heading2"/>
        <w:spacing w:before="0" w:after="120" w:line="240" w:lineRule="auto"/>
        <w:rPr>
          <w:rFonts w:ascii="Times New Roman" w:hAnsi="Times New Roman"/>
        </w:rPr>
      </w:pPr>
      <w:bookmarkStart w:id="22" w:name="_Toc508191209"/>
      <w:r w:rsidRPr="007D4DDF">
        <w:rPr>
          <w:rFonts w:ascii="Times New Roman" w:hAnsi="Times New Roman"/>
        </w:rPr>
        <w:t>4.11</w:t>
      </w:r>
      <w:r w:rsidR="006E160F">
        <w:rPr>
          <w:rFonts w:ascii="Times New Roman" w:hAnsi="Times New Roman"/>
        </w:rPr>
        <w:t>.</w:t>
      </w:r>
      <w:r w:rsidR="00985BD2">
        <w:rPr>
          <w:rFonts w:ascii="Times New Roman" w:hAnsi="Times New Roman"/>
        </w:rPr>
        <w:t xml:space="preserve"> </w:t>
      </w:r>
      <w:r w:rsidR="002820CB" w:rsidRPr="007D4DDF">
        <w:rPr>
          <w:rFonts w:ascii="Times New Roman" w:hAnsi="Times New Roman"/>
        </w:rPr>
        <w:t xml:space="preserve">Soft </w:t>
      </w:r>
      <w:r w:rsidRPr="007D4DDF">
        <w:rPr>
          <w:rFonts w:ascii="Times New Roman" w:hAnsi="Times New Roman"/>
        </w:rPr>
        <w:t>L</w:t>
      </w:r>
      <w:r w:rsidR="002820CB" w:rsidRPr="007D4DDF">
        <w:rPr>
          <w:rFonts w:ascii="Times New Roman" w:hAnsi="Times New Roman"/>
        </w:rPr>
        <w:t>aw/</w:t>
      </w:r>
      <w:r w:rsidRPr="007D4DDF">
        <w:rPr>
          <w:rFonts w:ascii="Times New Roman" w:hAnsi="Times New Roman"/>
        </w:rPr>
        <w:t>C</w:t>
      </w:r>
      <w:r w:rsidR="002820CB" w:rsidRPr="007D4DDF">
        <w:rPr>
          <w:rFonts w:ascii="Times New Roman" w:hAnsi="Times New Roman"/>
        </w:rPr>
        <w:t xml:space="preserve">odes and their </w:t>
      </w:r>
      <w:r w:rsidRPr="007D4DDF">
        <w:rPr>
          <w:rFonts w:ascii="Times New Roman" w:hAnsi="Times New Roman"/>
        </w:rPr>
        <w:t>E</w:t>
      </w:r>
      <w:r w:rsidR="002820CB" w:rsidRPr="007D4DDF">
        <w:rPr>
          <w:rFonts w:ascii="Times New Roman" w:hAnsi="Times New Roman"/>
        </w:rPr>
        <w:t>ffectiveness</w:t>
      </w:r>
      <w:bookmarkEnd w:id="22"/>
    </w:p>
    <w:p w14:paraId="2B8E7826" w14:textId="77777777" w:rsidR="005E690C" w:rsidRPr="007D4DDF" w:rsidRDefault="002820CB" w:rsidP="00395E14">
      <w:pPr>
        <w:spacing w:before="0" w:after="120" w:line="240" w:lineRule="auto"/>
        <w:rPr>
          <w:szCs w:val="24"/>
        </w:rPr>
      </w:pPr>
      <w:r w:rsidRPr="007D4DDF">
        <w:rPr>
          <w:szCs w:val="24"/>
        </w:rPr>
        <w:t xml:space="preserve">There are situations where </w:t>
      </w:r>
      <w:r w:rsidR="005E690C" w:rsidRPr="007D4DDF">
        <w:rPr>
          <w:szCs w:val="24"/>
        </w:rPr>
        <w:t>C</w:t>
      </w:r>
      <w:r w:rsidRPr="007D4DDF">
        <w:rPr>
          <w:szCs w:val="24"/>
        </w:rPr>
        <w:t xml:space="preserve">odes of </w:t>
      </w:r>
      <w:r w:rsidR="00810A0C" w:rsidRPr="007D4DDF">
        <w:rPr>
          <w:szCs w:val="24"/>
        </w:rPr>
        <w:t>Guidance</w:t>
      </w:r>
      <w:r w:rsidRPr="007D4DDF">
        <w:rPr>
          <w:szCs w:val="24"/>
        </w:rPr>
        <w:t xml:space="preserve"> or </w:t>
      </w:r>
      <w:r w:rsidR="005E690C" w:rsidRPr="007D4DDF">
        <w:rPr>
          <w:szCs w:val="24"/>
        </w:rPr>
        <w:t>C</w:t>
      </w:r>
      <w:r w:rsidRPr="007D4DDF">
        <w:rPr>
          <w:szCs w:val="24"/>
        </w:rPr>
        <w:t>onduct in the procedures leading to eviction can have an impact. In relation to mortgage arrears, there are Codes of Conduct or Pre-action Protocol</w:t>
      </w:r>
      <w:r w:rsidR="006A4CEE" w:rsidRPr="007D4DDF">
        <w:rPr>
          <w:szCs w:val="24"/>
        </w:rPr>
        <w:t>s</w:t>
      </w:r>
      <w:r w:rsidRPr="007D4DDF">
        <w:rPr>
          <w:szCs w:val="24"/>
        </w:rPr>
        <w:t xml:space="preserve"> in Ireland, Hungary and the UK, which</w:t>
      </w:r>
      <w:r w:rsidR="001E1533" w:rsidRPr="007D4DDF">
        <w:rPr>
          <w:szCs w:val="24"/>
        </w:rPr>
        <w:t>,</w:t>
      </w:r>
      <w:r w:rsidRPr="007D4DDF">
        <w:rPr>
          <w:szCs w:val="24"/>
        </w:rPr>
        <w:t xml:space="preserve"> although not legally binding, offer some procedural protections against arbitrary evictions. Protocols between landlords, municipal administrations, NGOs</w:t>
      </w:r>
      <w:r w:rsidR="001E1533" w:rsidRPr="007D4DDF">
        <w:rPr>
          <w:szCs w:val="24"/>
        </w:rPr>
        <w:t xml:space="preserve"> and </w:t>
      </w:r>
      <w:r w:rsidRPr="007D4DDF">
        <w:rPr>
          <w:szCs w:val="24"/>
        </w:rPr>
        <w:t xml:space="preserve">consumer or support services </w:t>
      </w:r>
      <w:r w:rsidRPr="007D4DDF">
        <w:rPr>
          <w:szCs w:val="24"/>
        </w:rPr>
        <w:lastRenderedPageBreak/>
        <w:t>in France, Germany,</w:t>
      </w:r>
      <w:r w:rsidR="00986E92" w:rsidRPr="007D4DDF">
        <w:rPr>
          <w:rStyle w:val="Funotenzeichen4"/>
          <w:szCs w:val="24"/>
        </w:rPr>
        <w:t xml:space="preserve"> </w:t>
      </w:r>
      <w:r w:rsidR="00986E92" w:rsidRPr="007D4DDF">
        <w:rPr>
          <w:szCs w:val="24"/>
        </w:rPr>
        <w:t>It</w:t>
      </w:r>
      <w:r w:rsidRPr="007D4DDF">
        <w:rPr>
          <w:szCs w:val="24"/>
        </w:rPr>
        <w:t>aly</w:t>
      </w:r>
      <w:r w:rsidRPr="007D4DDF">
        <w:rPr>
          <w:rStyle w:val="FootnoteReference"/>
          <w:color w:val="000000"/>
          <w:szCs w:val="24"/>
        </w:rPr>
        <w:footnoteReference w:id="159"/>
      </w:r>
      <w:r w:rsidRPr="007D4DDF">
        <w:rPr>
          <w:szCs w:val="24"/>
        </w:rPr>
        <w:t xml:space="preserve"> and the Netherlands</w:t>
      </w:r>
      <w:r w:rsidR="005E690C" w:rsidRPr="007D4DDF">
        <w:rPr>
          <w:szCs w:val="24"/>
        </w:rPr>
        <w:t>,</w:t>
      </w:r>
      <w:r w:rsidRPr="007D4DDF">
        <w:rPr>
          <w:rStyle w:val="FootnoteReference"/>
          <w:szCs w:val="24"/>
        </w:rPr>
        <w:footnoteReference w:id="160"/>
      </w:r>
      <w:r w:rsidRPr="007D4DDF">
        <w:rPr>
          <w:szCs w:val="24"/>
        </w:rPr>
        <w:t xml:space="preserve"> can reduce or effectively suspend evictions.</w:t>
      </w:r>
    </w:p>
    <w:p w14:paraId="13A41D94" w14:textId="60C89C4A" w:rsidR="006E160F" w:rsidRDefault="006E160F">
      <w:pPr>
        <w:spacing w:before="0" w:after="0" w:line="240" w:lineRule="auto"/>
        <w:rPr>
          <w:szCs w:val="24"/>
        </w:rPr>
      </w:pPr>
      <w:r>
        <w:rPr>
          <w:szCs w:val="24"/>
        </w:rPr>
        <w:br w:type="page"/>
      </w:r>
    </w:p>
    <w:p w14:paraId="1A0F6D17" w14:textId="46458EA7" w:rsidR="001A4592" w:rsidRPr="008B1CB3" w:rsidRDefault="00495EF7" w:rsidP="008B1CB3">
      <w:pPr>
        <w:spacing w:before="0" w:after="120" w:line="240" w:lineRule="auto"/>
        <w:rPr>
          <w:b/>
          <w:bCs/>
          <w:sz w:val="28"/>
          <w:szCs w:val="28"/>
        </w:rPr>
      </w:pPr>
      <w:bookmarkStart w:id="23" w:name="_Toc508191210"/>
      <w:r w:rsidRPr="008B1CB3">
        <w:rPr>
          <w:b/>
          <w:bCs/>
          <w:sz w:val="28"/>
          <w:szCs w:val="28"/>
        </w:rPr>
        <w:lastRenderedPageBreak/>
        <w:t>5</w:t>
      </w:r>
      <w:r w:rsidR="00395E14" w:rsidRPr="008B1CB3">
        <w:rPr>
          <w:b/>
          <w:bCs/>
          <w:sz w:val="28"/>
          <w:szCs w:val="28"/>
        </w:rPr>
        <w:t>.</w:t>
      </w:r>
      <w:r w:rsidR="00985BD2" w:rsidRPr="008B1CB3">
        <w:rPr>
          <w:b/>
          <w:bCs/>
          <w:sz w:val="28"/>
          <w:szCs w:val="28"/>
        </w:rPr>
        <w:t xml:space="preserve"> </w:t>
      </w:r>
      <w:r w:rsidR="00196196" w:rsidRPr="008B1CB3">
        <w:rPr>
          <w:b/>
          <w:bCs/>
          <w:caps/>
          <w:sz w:val="28"/>
          <w:szCs w:val="28"/>
        </w:rPr>
        <w:t xml:space="preserve">Substantive </w:t>
      </w:r>
      <w:r w:rsidR="008D20C6" w:rsidRPr="008B1CB3">
        <w:rPr>
          <w:b/>
          <w:bCs/>
          <w:caps/>
          <w:sz w:val="28"/>
          <w:szCs w:val="28"/>
        </w:rPr>
        <w:t>Context</w:t>
      </w:r>
      <w:bookmarkEnd w:id="23"/>
    </w:p>
    <w:p w14:paraId="5CD8D948" w14:textId="77777777" w:rsidR="001A4592" w:rsidRPr="007D4DDF" w:rsidRDefault="002820CB" w:rsidP="00395E14">
      <w:pPr>
        <w:spacing w:before="0" w:after="120" w:line="240" w:lineRule="auto"/>
        <w:rPr>
          <w:szCs w:val="24"/>
        </w:rPr>
      </w:pPr>
      <w:r w:rsidRPr="007D4DDF">
        <w:rPr>
          <w:szCs w:val="24"/>
        </w:rPr>
        <w:t xml:space="preserve">In almost all countries in the study, the data available </w:t>
      </w:r>
      <w:r w:rsidR="006A4CEE" w:rsidRPr="007D4DDF">
        <w:rPr>
          <w:szCs w:val="24"/>
        </w:rPr>
        <w:t xml:space="preserve">on evictions </w:t>
      </w:r>
      <w:r w:rsidRPr="007D4DDF">
        <w:rPr>
          <w:szCs w:val="24"/>
        </w:rPr>
        <w:t>is limited and fragmented</w:t>
      </w:r>
      <w:r w:rsidR="00196196" w:rsidRPr="007D4DDF">
        <w:rPr>
          <w:szCs w:val="24"/>
        </w:rPr>
        <w:t xml:space="preserve"> over the period 2010 to </w:t>
      </w:r>
      <w:r w:rsidR="007A7839">
        <w:rPr>
          <w:szCs w:val="24"/>
        </w:rPr>
        <w:t>2015/</w:t>
      </w:r>
      <w:r w:rsidR="00196196" w:rsidRPr="007D4DDF">
        <w:rPr>
          <w:szCs w:val="24"/>
        </w:rPr>
        <w:t>2016.</w:t>
      </w:r>
      <w:r w:rsidRPr="007D4DDF">
        <w:rPr>
          <w:szCs w:val="24"/>
        </w:rPr>
        <w:t xml:space="preserve"> While </w:t>
      </w:r>
      <w:r w:rsidR="006771D4" w:rsidRPr="007D4DDF">
        <w:rPr>
          <w:szCs w:val="24"/>
        </w:rPr>
        <w:t>s</w:t>
      </w:r>
      <w:r w:rsidRPr="007D4DDF">
        <w:rPr>
          <w:szCs w:val="24"/>
        </w:rPr>
        <w:t>tates collate court statistics, very often possession cases do not distinguish between property types</w:t>
      </w:r>
      <w:r w:rsidR="001E1533" w:rsidRPr="007D4DDF">
        <w:rPr>
          <w:szCs w:val="24"/>
        </w:rPr>
        <w:t xml:space="preserve"> or </w:t>
      </w:r>
      <w:r w:rsidRPr="007D4DDF">
        <w:rPr>
          <w:szCs w:val="24"/>
        </w:rPr>
        <w:t xml:space="preserve">tenures </w:t>
      </w:r>
      <w:r w:rsidR="001E1533" w:rsidRPr="007D4DDF">
        <w:rPr>
          <w:szCs w:val="24"/>
        </w:rPr>
        <w:t>and</w:t>
      </w:r>
      <w:r w:rsidRPr="007D4DDF">
        <w:rPr>
          <w:szCs w:val="24"/>
        </w:rPr>
        <w:t xml:space="preserve"> whether the property is inhabited and by whom. The ECB is now engaged in monitoring the levels of non-performing loans in EU Member States, and this involves direct supervision of significant lenders in each Member State in the </w:t>
      </w:r>
      <w:r w:rsidR="001E1533" w:rsidRPr="007D4DDF">
        <w:rPr>
          <w:szCs w:val="24"/>
        </w:rPr>
        <w:t xml:space="preserve">euro </w:t>
      </w:r>
      <w:r w:rsidRPr="007D4DDF">
        <w:rPr>
          <w:szCs w:val="24"/>
        </w:rPr>
        <w:t>area.</w:t>
      </w:r>
      <w:r w:rsidRPr="007D4DDF">
        <w:rPr>
          <w:rStyle w:val="FootnoteReference"/>
          <w:szCs w:val="24"/>
        </w:rPr>
        <w:footnoteReference w:id="161"/>
      </w:r>
      <w:r w:rsidRPr="007D4DDF">
        <w:rPr>
          <w:szCs w:val="24"/>
        </w:rPr>
        <w:t xml:space="preserve"> However, even this data does not distinguish between loans on properties which are used as homes, and those which are not.</w:t>
      </w:r>
    </w:p>
    <w:p w14:paraId="06147567" w14:textId="77777777" w:rsidR="005E690C" w:rsidRPr="007D4DDF" w:rsidRDefault="005E690C" w:rsidP="00777703">
      <w:pPr>
        <w:spacing w:before="0" w:after="120" w:line="240" w:lineRule="auto"/>
        <w:rPr>
          <w:szCs w:val="24"/>
        </w:rPr>
      </w:pPr>
    </w:p>
    <w:p w14:paraId="59E8A684" w14:textId="72B86352" w:rsidR="001A4592" w:rsidRPr="007D4DDF" w:rsidRDefault="007E1B87" w:rsidP="008B1CB3">
      <w:pPr>
        <w:pStyle w:val="Heading2"/>
        <w:spacing w:before="0" w:after="120" w:line="240" w:lineRule="auto"/>
        <w:rPr>
          <w:rFonts w:ascii="Times New Roman" w:hAnsi="Times New Roman"/>
        </w:rPr>
      </w:pPr>
      <w:bookmarkStart w:id="24" w:name="_Toc508191211"/>
      <w:r w:rsidRPr="007D4DDF">
        <w:rPr>
          <w:rFonts w:ascii="Times New Roman" w:hAnsi="Times New Roman"/>
        </w:rPr>
        <w:t>5.1</w:t>
      </w:r>
      <w:r w:rsidR="006E160F">
        <w:rPr>
          <w:rFonts w:ascii="Times New Roman" w:hAnsi="Times New Roman"/>
        </w:rPr>
        <w:t>.</w:t>
      </w:r>
      <w:r w:rsidR="00302E74">
        <w:rPr>
          <w:rFonts w:ascii="Times New Roman" w:hAnsi="Times New Roman"/>
        </w:rPr>
        <w:t xml:space="preserve"> </w:t>
      </w:r>
      <w:r w:rsidR="002820CB" w:rsidRPr="007D4DDF">
        <w:rPr>
          <w:rFonts w:ascii="Times New Roman" w:hAnsi="Times New Roman"/>
        </w:rPr>
        <w:t>Mortgage</w:t>
      </w:r>
      <w:r w:rsidR="00112951" w:rsidRPr="007D4DDF">
        <w:rPr>
          <w:rFonts w:ascii="Times New Roman" w:hAnsi="Times New Roman"/>
        </w:rPr>
        <w:t>-related</w:t>
      </w:r>
      <w:r w:rsidR="002820CB" w:rsidRPr="007D4DDF">
        <w:rPr>
          <w:rFonts w:ascii="Times New Roman" w:hAnsi="Times New Roman"/>
        </w:rPr>
        <w:t xml:space="preserve"> </w:t>
      </w:r>
      <w:r w:rsidRPr="007D4DDF">
        <w:rPr>
          <w:rFonts w:ascii="Times New Roman" w:hAnsi="Times New Roman"/>
        </w:rPr>
        <w:t>E</w:t>
      </w:r>
      <w:r w:rsidR="002820CB" w:rsidRPr="007D4DDF">
        <w:rPr>
          <w:rFonts w:ascii="Times New Roman" w:hAnsi="Times New Roman"/>
        </w:rPr>
        <w:t>victions</w:t>
      </w:r>
      <w:bookmarkEnd w:id="24"/>
    </w:p>
    <w:p w14:paraId="4D48F556" w14:textId="77777777" w:rsidR="001A4592" w:rsidRPr="007D4DDF" w:rsidRDefault="007A7839" w:rsidP="00395E14">
      <w:pPr>
        <w:spacing w:before="0" w:after="120" w:line="240" w:lineRule="auto"/>
        <w:rPr>
          <w:color w:val="000000"/>
          <w:szCs w:val="24"/>
        </w:rPr>
      </w:pPr>
      <w:r>
        <w:rPr>
          <w:color w:val="000000"/>
          <w:szCs w:val="24"/>
        </w:rPr>
        <w:t xml:space="preserve">Good </w:t>
      </w:r>
      <w:r w:rsidR="002820CB" w:rsidRPr="007D4DDF">
        <w:rPr>
          <w:color w:val="000000"/>
          <w:szCs w:val="24"/>
        </w:rPr>
        <w:t xml:space="preserve">data is available for </w:t>
      </w:r>
      <w:r>
        <w:rPr>
          <w:color w:val="000000"/>
          <w:szCs w:val="24"/>
        </w:rPr>
        <w:t xml:space="preserve">some </w:t>
      </w:r>
      <w:r w:rsidR="002820CB" w:rsidRPr="007D4DDF">
        <w:rPr>
          <w:color w:val="000000"/>
          <w:szCs w:val="24"/>
        </w:rPr>
        <w:t>regions</w:t>
      </w:r>
      <w:r w:rsidR="002F08C8">
        <w:rPr>
          <w:color w:val="000000"/>
          <w:szCs w:val="24"/>
        </w:rPr>
        <w:t xml:space="preserve"> of EU Member States</w:t>
      </w:r>
      <w:r w:rsidR="002820CB" w:rsidRPr="007D4DDF">
        <w:rPr>
          <w:color w:val="000000"/>
          <w:szCs w:val="24"/>
        </w:rPr>
        <w:t xml:space="preserve">, or various </w:t>
      </w:r>
      <w:r w:rsidR="001E1533" w:rsidRPr="007D4DDF">
        <w:rPr>
          <w:color w:val="000000"/>
          <w:szCs w:val="24"/>
        </w:rPr>
        <w:t>dispute-</w:t>
      </w:r>
      <w:r w:rsidR="002820CB" w:rsidRPr="007D4DDF">
        <w:rPr>
          <w:color w:val="000000"/>
          <w:szCs w:val="24"/>
        </w:rPr>
        <w:t>resolution systems, and it is possible to generate some estimation of the levels of evictions in a number of</w:t>
      </w:r>
      <w:r w:rsidR="00A30391" w:rsidRPr="007D4DDF">
        <w:rPr>
          <w:color w:val="000000"/>
          <w:szCs w:val="24"/>
        </w:rPr>
        <w:t xml:space="preserve"> </w:t>
      </w:r>
      <w:r w:rsidR="002820CB" w:rsidRPr="007D4DDF">
        <w:rPr>
          <w:color w:val="000000"/>
          <w:szCs w:val="24"/>
        </w:rPr>
        <w:t>countries</w:t>
      </w:r>
      <w:r w:rsidR="006A4CEE" w:rsidRPr="007D4DDF">
        <w:rPr>
          <w:color w:val="000000"/>
          <w:szCs w:val="24"/>
        </w:rPr>
        <w:t>,</w:t>
      </w:r>
      <w:r w:rsidR="002820CB" w:rsidRPr="007D4DDF">
        <w:rPr>
          <w:color w:val="000000"/>
          <w:szCs w:val="24"/>
        </w:rPr>
        <w:t xml:space="preserve"> for some tenures. However, </w:t>
      </w:r>
      <w:r w:rsidR="00370404" w:rsidRPr="007D4DDF">
        <w:rPr>
          <w:color w:val="000000"/>
          <w:szCs w:val="24"/>
        </w:rPr>
        <w:t xml:space="preserve">while </w:t>
      </w:r>
      <w:r w:rsidR="002820CB" w:rsidRPr="007D4DDF">
        <w:rPr>
          <w:color w:val="000000"/>
          <w:szCs w:val="24"/>
        </w:rPr>
        <w:t xml:space="preserve">some records exist for court proceedings, </w:t>
      </w:r>
      <w:r w:rsidR="00370404" w:rsidRPr="007D4DDF">
        <w:rPr>
          <w:color w:val="000000"/>
          <w:szCs w:val="24"/>
        </w:rPr>
        <w:t xml:space="preserve">often there is no </w:t>
      </w:r>
      <w:r w:rsidR="002820CB" w:rsidRPr="007D4DDF">
        <w:rPr>
          <w:color w:val="000000"/>
          <w:szCs w:val="24"/>
        </w:rPr>
        <w:t xml:space="preserve">data </w:t>
      </w:r>
      <w:r w:rsidR="00370404" w:rsidRPr="007D4DDF">
        <w:rPr>
          <w:color w:val="000000"/>
          <w:szCs w:val="24"/>
        </w:rPr>
        <w:t>available</w:t>
      </w:r>
      <w:r w:rsidR="002820CB" w:rsidRPr="007D4DDF">
        <w:rPr>
          <w:color w:val="000000"/>
          <w:szCs w:val="24"/>
        </w:rPr>
        <w:t xml:space="preserve"> on the pre-court proceedings (the point at which many leave their accommodation involuntarily). For instance, in Ireland, some 40 per cent of instigated mortgage arrears actions result in possession, and this </w:t>
      </w:r>
      <w:r w:rsidR="00370404" w:rsidRPr="007D4DDF">
        <w:rPr>
          <w:color w:val="000000"/>
          <w:szCs w:val="24"/>
        </w:rPr>
        <w:t xml:space="preserve">occurs in </w:t>
      </w:r>
      <w:r w:rsidR="002820CB" w:rsidRPr="007D4DDF">
        <w:rPr>
          <w:color w:val="000000"/>
          <w:szCs w:val="24"/>
        </w:rPr>
        <w:t xml:space="preserve">70 per cent </w:t>
      </w:r>
      <w:r w:rsidR="00370404" w:rsidRPr="007D4DDF">
        <w:rPr>
          <w:color w:val="000000"/>
          <w:szCs w:val="24"/>
        </w:rPr>
        <w:t xml:space="preserve">of cases where </w:t>
      </w:r>
      <w:r w:rsidR="00877182" w:rsidRPr="007D4DDF">
        <w:rPr>
          <w:color w:val="000000"/>
          <w:szCs w:val="24"/>
        </w:rPr>
        <w:t xml:space="preserve">the creditor is an </w:t>
      </w:r>
      <w:r w:rsidR="002820CB" w:rsidRPr="007D4DDF">
        <w:rPr>
          <w:color w:val="000000"/>
          <w:szCs w:val="24"/>
        </w:rPr>
        <w:t xml:space="preserve">investment or </w:t>
      </w:r>
      <w:r w:rsidR="0049000B" w:rsidRPr="007D4DDF">
        <w:rPr>
          <w:color w:val="000000"/>
          <w:szCs w:val="24"/>
        </w:rPr>
        <w:t>‘</w:t>
      </w:r>
      <w:r w:rsidR="002820CB" w:rsidRPr="007D4DDF">
        <w:rPr>
          <w:color w:val="000000"/>
          <w:szCs w:val="24"/>
        </w:rPr>
        <w:t>vulture</w:t>
      </w:r>
      <w:r w:rsidR="0049000B" w:rsidRPr="007D4DDF">
        <w:rPr>
          <w:color w:val="000000"/>
          <w:szCs w:val="24"/>
        </w:rPr>
        <w:t>’</w:t>
      </w:r>
      <w:r w:rsidR="002820CB" w:rsidRPr="007D4DDF">
        <w:rPr>
          <w:color w:val="000000"/>
          <w:szCs w:val="24"/>
        </w:rPr>
        <w:t xml:space="preserve"> fund.</w:t>
      </w:r>
      <w:r w:rsidR="002820CB" w:rsidRPr="007D4DDF">
        <w:rPr>
          <w:rStyle w:val="FootnoteReference"/>
          <w:color w:val="000000"/>
          <w:szCs w:val="24"/>
        </w:rPr>
        <w:footnoteReference w:id="162"/>
      </w:r>
      <w:r w:rsidR="002820CB" w:rsidRPr="007D4DDF">
        <w:rPr>
          <w:color w:val="000000"/>
          <w:szCs w:val="24"/>
        </w:rPr>
        <w:t xml:space="preserve"> Indebted borrowers are actually more likely to voluntarily surrender or abandon their homes before the conclusion of court proceedings than be forcibly repossessed.</w:t>
      </w:r>
      <w:r w:rsidR="00B6481C" w:rsidRPr="007D4DDF">
        <w:rPr>
          <w:rStyle w:val="FootnoteReference"/>
          <w:color w:val="000000"/>
          <w:szCs w:val="24"/>
        </w:rPr>
        <w:footnoteReference w:id="163"/>
      </w:r>
      <w:r w:rsidR="002820CB" w:rsidRPr="007D4DDF">
        <w:rPr>
          <w:color w:val="000000"/>
          <w:szCs w:val="24"/>
        </w:rPr>
        <w:t xml:space="preserve"> Of the dwellings repossessed by lenders between 2009 and 2016, some 66 per cent were repossessed by lenders after voluntary surrender or abandonment.</w:t>
      </w:r>
      <w:r w:rsidR="002820CB" w:rsidRPr="007D4DDF">
        <w:rPr>
          <w:rStyle w:val="FootnoteReference"/>
          <w:color w:val="000000"/>
          <w:szCs w:val="24"/>
        </w:rPr>
        <w:footnoteReference w:id="164"/>
      </w:r>
    </w:p>
    <w:p w14:paraId="02F8C6DA" w14:textId="77777777" w:rsidR="001A4592" w:rsidRPr="007D4DDF" w:rsidRDefault="002820CB" w:rsidP="00395E14">
      <w:pPr>
        <w:spacing w:before="0" w:after="120" w:line="240" w:lineRule="auto"/>
        <w:rPr>
          <w:szCs w:val="24"/>
        </w:rPr>
      </w:pPr>
      <w:r w:rsidRPr="007D4DDF">
        <w:rPr>
          <w:szCs w:val="24"/>
        </w:rPr>
        <w:t>In France, the numbers of evictions instigated rose from 155</w:t>
      </w:r>
      <w:r w:rsidR="005E690C" w:rsidRPr="007D4DDF">
        <w:rPr>
          <w:szCs w:val="24"/>
        </w:rPr>
        <w:t xml:space="preserve"> </w:t>
      </w:r>
      <w:r w:rsidRPr="007D4DDF">
        <w:rPr>
          <w:szCs w:val="24"/>
        </w:rPr>
        <w:t>874 in 2010 to 168</w:t>
      </w:r>
      <w:r w:rsidR="005E690C" w:rsidRPr="007D4DDF">
        <w:rPr>
          <w:szCs w:val="24"/>
        </w:rPr>
        <w:t xml:space="preserve"> </w:t>
      </w:r>
      <w:r w:rsidRPr="007D4DDF">
        <w:rPr>
          <w:szCs w:val="24"/>
        </w:rPr>
        <w:t xml:space="preserve">775 in 2015, with over 90 per cent </w:t>
      </w:r>
      <w:r w:rsidR="009B166E" w:rsidRPr="007D4DDF">
        <w:rPr>
          <w:szCs w:val="24"/>
        </w:rPr>
        <w:t>the</w:t>
      </w:r>
      <w:r w:rsidRPr="007D4DDF">
        <w:rPr>
          <w:szCs w:val="24"/>
        </w:rPr>
        <w:t xml:space="preserve"> result of arrears.</w:t>
      </w:r>
      <w:r w:rsidRPr="007D4DDF">
        <w:rPr>
          <w:rStyle w:val="FootnoteReference"/>
          <w:szCs w:val="24"/>
        </w:rPr>
        <w:footnoteReference w:id="165"/>
      </w:r>
      <w:r w:rsidR="00A30391" w:rsidRPr="007D4DDF">
        <w:rPr>
          <w:szCs w:val="24"/>
        </w:rPr>
        <w:t xml:space="preserve"> </w:t>
      </w:r>
      <w:r w:rsidRPr="007D4DDF">
        <w:rPr>
          <w:szCs w:val="24"/>
        </w:rPr>
        <w:t xml:space="preserve">Some 75 per cent of cases </w:t>
      </w:r>
      <w:r w:rsidR="002F08C8">
        <w:rPr>
          <w:szCs w:val="24"/>
        </w:rPr>
        <w:t xml:space="preserve">involved </w:t>
      </w:r>
      <w:r w:rsidRPr="007D4DDF">
        <w:rPr>
          <w:szCs w:val="24"/>
        </w:rPr>
        <w:t>a court decision. A police request for assistance in the execution of the eviction order was requested in some 35 per cent of the decisions, and effective execution by police in 30 per cent of requests.</w:t>
      </w:r>
    </w:p>
    <w:p w14:paraId="1CF14E2C" w14:textId="77777777" w:rsidR="001A4592" w:rsidRPr="007D4DDF" w:rsidRDefault="002820CB" w:rsidP="00777703">
      <w:pPr>
        <w:spacing w:before="0" w:after="120" w:line="240" w:lineRule="auto"/>
        <w:rPr>
          <w:szCs w:val="24"/>
        </w:rPr>
      </w:pPr>
      <w:r w:rsidRPr="007D4DDF">
        <w:rPr>
          <w:szCs w:val="24"/>
        </w:rPr>
        <w:t xml:space="preserve">While there are no universal official statistics in Germany, data was obtained from </w:t>
      </w:r>
      <w:r w:rsidR="00A30391" w:rsidRPr="007D4DDF">
        <w:rPr>
          <w:szCs w:val="24"/>
        </w:rPr>
        <w:t>juridical</w:t>
      </w:r>
      <w:r w:rsidRPr="007D4DDF">
        <w:rPr>
          <w:szCs w:val="24"/>
        </w:rPr>
        <w:t xml:space="preserve"> reports on enforced auctions. These show some 68</w:t>
      </w:r>
      <w:r w:rsidR="00AA5A13" w:rsidRPr="007D4DDF">
        <w:rPr>
          <w:szCs w:val="24"/>
        </w:rPr>
        <w:t xml:space="preserve"> </w:t>
      </w:r>
      <w:r w:rsidRPr="007D4DDF">
        <w:rPr>
          <w:szCs w:val="24"/>
        </w:rPr>
        <w:t xml:space="preserve">7243 cases of real estate </w:t>
      </w:r>
      <w:r w:rsidRPr="007D4DDF">
        <w:rPr>
          <w:szCs w:val="24"/>
        </w:rPr>
        <w:lastRenderedPageBreak/>
        <w:t>repossessions in 2010, and a reduction to 42</w:t>
      </w:r>
      <w:r w:rsidR="00AA5A13" w:rsidRPr="007D4DDF">
        <w:rPr>
          <w:szCs w:val="24"/>
        </w:rPr>
        <w:t xml:space="preserve"> </w:t>
      </w:r>
      <w:r w:rsidRPr="007D4DDF">
        <w:rPr>
          <w:szCs w:val="24"/>
        </w:rPr>
        <w:t>670 in 2015. In terms of evictions from private rental(s), while there is no official national data</w:t>
      </w:r>
      <w:r w:rsidR="00FA1BFE" w:rsidRPr="007D4DDF">
        <w:rPr>
          <w:szCs w:val="24"/>
        </w:rPr>
        <w:t>, r</w:t>
      </w:r>
      <w:r w:rsidRPr="007D4DDF">
        <w:rPr>
          <w:szCs w:val="24"/>
        </w:rPr>
        <w:t>esearch in Saxony indicated that there were 3037 cases in 2010, rising to 4762 in 2015. There are some 10</w:t>
      </w:r>
      <w:r w:rsidR="00AA5A13" w:rsidRPr="007D4DDF">
        <w:rPr>
          <w:szCs w:val="24"/>
        </w:rPr>
        <w:t xml:space="preserve"> </w:t>
      </w:r>
      <w:r w:rsidRPr="007D4DDF">
        <w:rPr>
          <w:szCs w:val="24"/>
        </w:rPr>
        <w:t>000 eviction cases each year in Berlin, of which 5</w:t>
      </w:r>
      <w:r w:rsidR="00A30391" w:rsidRPr="007D4DDF">
        <w:rPr>
          <w:szCs w:val="24"/>
        </w:rPr>
        <w:t>0–7</w:t>
      </w:r>
      <w:r w:rsidRPr="007D4DDF">
        <w:rPr>
          <w:szCs w:val="24"/>
        </w:rPr>
        <w:t xml:space="preserve">0 per cent </w:t>
      </w:r>
      <w:proofErr w:type="gramStart"/>
      <w:r w:rsidRPr="007D4DDF">
        <w:rPr>
          <w:szCs w:val="24"/>
        </w:rPr>
        <w:t>are</w:t>
      </w:r>
      <w:proofErr w:type="gramEnd"/>
      <w:r w:rsidRPr="007D4DDF">
        <w:rPr>
          <w:szCs w:val="24"/>
        </w:rPr>
        <w:t xml:space="preserve"> executed. </w:t>
      </w:r>
      <w:r w:rsidR="00A30391" w:rsidRPr="007D4DDF">
        <w:rPr>
          <w:szCs w:val="24"/>
        </w:rPr>
        <w:t>Research</w:t>
      </w:r>
      <w:r w:rsidR="00FA1BFE" w:rsidRPr="007D4DDF">
        <w:rPr>
          <w:szCs w:val="24"/>
        </w:rPr>
        <w:t xml:space="preserve"> indicates that approximately</w:t>
      </w:r>
      <w:r w:rsidRPr="007D4DDF">
        <w:rPr>
          <w:szCs w:val="24"/>
        </w:rPr>
        <w:t xml:space="preserve"> 20 per cent are the result of divorce or separation.</w:t>
      </w:r>
    </w:p>
    <w:p w14:paraId="7050B192" w14:textId="77777777" w:rsidR="001A4592" w:rsidRPr="007D4DDF" w:rsidRDefault="002820CB" w:rsidP="00777703">
      <w:pPr>
        <w:spacing w:before="0" w:after="120" w:line="240" w:lineRule="auto"/>
        <w:rPr>
          <w:szCs w:val="24"/>
        </w:rPr>
      </w:pPr>
      <w:r w:rsidRPr="007D4DDF">
        <w:rPr>
          <w:szCs w:val="24"/>
        </w:rPr>
        <w:t xml:space="preserve">In Hungary, there is no overall data collected on the extent of evictions, but some information exists for parts of the country. There </w:t>
      </w:r>
      <w:r w:rsidR="00A30391" w:rsidRPr="007D4DDF">
        <w:rPr>
          <w:szCs w:val="24"/>
        </w:rPr>
        <w:t>were</w:t>
      </w:r>
      <w:r w:rsidRPr="007D4DDF">
        <w:rPr>
          <w:szCs w:val="24"/>
        </w:rPr>
        <w:t xml:space="preserve"> approximately 40</w:t>
      </w:r>
      <w:r w:rsidR="00AA5A13" w:rsidRPr="007D4DDF">
        <w:rPr>
          <w:szCs w:val="24"/>
        </w:rPr>
        <w:t xml:space="preserve"> </w:t>
      </w:r>
      <w:r w:rsidRPr="007D4DDF">
        <w:rPr>
          <w:szCs w:val="24"/>
        </w:rPr>
        <w:t>000 procedures for possession of immovable property (which includes all buildings</w:t>
      </w:r>
      <w:r w:rsidR="00D94EE2" w:rsidRPr="007D4DDF">
        <w:rPr>
          <w:szCs w:val="24"/>
        </w:rPr>
        <w:t>)</w:t>
      </w:r>
      <w:r w:rsidR="00FA1BFE" w:rsidRPr="007D4DDF">
        <w:rPr>
          <w:szCs w:val="24"/>
        </w:rPr>
        <w:t xml:space="preserve"> instigated in </w:t>
      </w:r>
      <w:r w:rsidRPr="007D4DDF">
        <w:rPr>
          <w:szCs w:val="24"/>
        </w:rPr>
        <w:t xml:space="preserve">2013, but this resulted in some 2500 housing units being designated for sale in the process, and 517 ended with an eviction. In 2016, there were 3400 housing units made for sale, and 1734 evictions. </w:t>
      </w:r>
      <w:r w:rsidR="00FA1BFE" w:rsidRPr="007D4DDF">
        <w:rPr>
          <w:szCs w:val="24"/>
        </w:rPr>
        <w:t>Political initiatives led to a situation where l</w:t>
      </w:r>
      <w:r w:rsidRPr="007D4DDF">
        <w:rPr>
          <w:szCs w:val="24"/>
        </w:rPr>
        <w:t>enders agreed to cap the number of evictions arising from defaults on foreign exchange mortgages. Based on their research</w:t>
      </w:r>
      <w:r w:rsidR="009B166E" w:rsidRPr="007D4DDF">
        <w:rPr>
          <w:szCs w:val="24"/>
        </w:rPr>
        <w:t>,</w:t>
      </w:r>
      <w:r w:rsidRPr="007D4DDF">
        <w:rPr>
          <w:szCs w:val="24"/>
        </w:rPr>
        <w:t xml:space="preserve"> </w:t>
      </w:r>
      <w:proofErr w:type="spellStart"/>
      <w:r w:rsidRPr="007D4DDF">
        <w:rPr>
          <w:szCs w:val="24"/>
        </w:rPr>
        <w:t>Nóra</w:t>
      </w:r>
      <w:proofErr w:type="spellEnd"/>
      <w:r w:rsidRPr="007D4DDF">
        <w:rPr>
          <w:szCs w:val="24"/>
        </w:rPr>
        <w:t xml:space="preserve"> Teller</w:t>
      </w:r>
      <w:r w:rsidR="009B166E" w:rsidRPr="007D4DDF">
        <w:rPr>
          <w:szCs w:val="24"/>
        </w:rPr>
        <w:t>,</w:t>
      </w:r>
      <w:r w:rsidRPr="007D4DDF">
        <w:rPr>
          <w:rStyle w:val="normaltextrun"/>
          <w:color w:val="000000"/>
          <w:szCs w:val="24"/>
          <w:shd w:val="clear" w:color="auto" w:fill="FFFFFF"/>
        </w:rPr>
        <w:t xml:space="preserve"> </w:t>
      </w:r>
      <w:proofErr w:type="spellStart"/>
      <w:r w:rsidRPr="007D4DDF">
        <w:rPr>
          <w:rStyle w:val="spellingerror"/>
          <w:color w:val="000000"/>
          <w:szCs w:val="24"/>
          <w:shd w:val="clear" w:color="auto" w:fill="FFFFFF"/>
        </w:rPr>
        <w:t>Eszter</w:t>
      </w:r>
      <w:proofErr w:type="spellEnd"/>
      <w:r w:rsidRPr="007D4DDF">
        <w:rPr>
          <w:rStyle w:val="apple-converted-space"/>
          <w:color w:val="000000"/>
          <w:szCs w:val="24"/>
          <w:shd w:val="clear" w:color="auto" w:fill="FFFFFF"/>
        </w:rPr>
        <w:t> </w:t>
      </w:r>
      <w:r w:rsidRPr="007D4DDF">
        <w:rPr>
          <w:rStyle w:val="spellingerror"/>
          <w:color w:val="000000"/>
          <w:szCs w:val="24"/>
          <w:shd w:val="clear" w:color="auto" w:fill="FFFFFF"/>
        </w:rPr>
        <w:t xml:space="preserve">Somogyi and </w:t>
      </w:r>
      <w:proofErr w:type="spellStart"/>
      <w:r w:rsidRPr="007D4DDF">
        <w:rPr>
          <w:rStyle w:val="spellingerror"/>
          <w:color w:val="000000"/>
          <w:szCs w:val="24"/>
          <w:shd w:val="clear" w:color="auto" w:fill="FFFFFF"/>
        </w:rPr>
        <w:t>Nóra</w:t>
      </w:r>
      <w:proofErr w:type="spellEnd"/>
      <w:r w:rsidRPr="007D4DDF">
        <w:rPr>
          <w:rStyle w:val="apple-converted-space"/>
          <w:color w:val="000000"/>
          <w:szCs w:val="24"/>
          <w:shd w:val="clear" w:color="auto" w:fill="FFFFFF"/>
        </w:rPr>
        <w:t> </w:t>
      </w:r>
      <w:proofErr w:type="spellStart"/>
      <w:r w:rsidRPr="007D4DDF">
        <w:rPr>
          <w:rStyle w:val="spellingerror"/>
          <w:color w:val="000000"/>
          <w:szCs w:val="24"/>
          <w:shd w:val="clear" w:color="auto" w:fill="FFFFFF"/>
        </w:rPr>
        <w:t>Tosic</w:t>
      </w:r>
      <w:proofErr w:type="spellEnd"/>
      <w:r w:rsidRPr="007D4DDF">
        <w:rPr>
          <w:rStyle w:val="spellingerror"/>
          <w:color w:val="000000"/>
          <w:szCs w:val="24"/>
          <w:shd w:val="clear" w:color="auto" w:fill="FFFFFF"/>
        </w:rPr>
        <w:t xml:space="preserve"> suggest that in </w:t>
      </w:r>
      <w:r w:rsidRPr="007D4DDF">
        <w:rPr>
          <w:szCs w:val="24"/>
        </w:rPr>
        <w:t>Hungary</w:t>
      </w:r>
      <w:r w:rsidR="00AA5A13" w:rsidRPr="007D4DDF">
        <w:rPr>
          <w:szCs w:val="24"/>
        </w:rPr>
        <w:t>,</w:t>
      </w:r>
      <w:r w:rsidRPr="007D4DDF">
        <w:rPr>
          <w:szCs w:val="24"/>
        </w:rPr>
        <w:t xml:space="preserve"> some 3000 auctions take place each year in relation to real estate, resulting in about 300 households being evicted as a result of actions on debt.</w:t>
      </w:r>
    </w:p>
    <w:p w14:paraId="62B918BC" w14:textId="77777777" w:rsidR="001A4592" w:rsidRPr="007D4DDF" w:rsidRDefault="00877182" w:rsidP="00777703">
      <w:pPr>
        <w:spacing w:before="0" w:after="120" w:line="240" w:lineRule="auto"/>
        <w:rPr>
          <w:szCs w:val="24"/>
        </w:rPr>
      </w:pPr>
      <w:r w:rsidRPr="007D4DDF">
        <w:rPr>
          <w:szCs w:val="24"/>
        </w:rPr>
        <w:t xml:space="preserve">The Polish </w:t>
      </w:r>
      <w:r w:rsidR="002820CB" w:rsidRPr="007D4DDF">
        <w:rPr>
          <w:szCs w:val="24"/>
        </w:rPr>
        <w:t>Ministry of Justice collects data on the number of evictions. Although the Ministry does not distinguish between the different types of housing,</w:t>
      </w:r>
      <w:r w:rsidR="00A30391" w:rsidRPr="007D4DDF">
        <w:rPr>
          <w:szCs w:val="24"/>
        </w:rPr>
        <w:t xml:space="preserve"> </w:t>
      </w:r>
      <w:r w:rsidR="002820CB" w:rsidRPr="007D4DDF">
        <w:rPr>
          <w:szCs w:val="24"/>
        </w:rPr>
        <w:t>it</w:t>
      </w:r>
      <w:r w:rsidR="00A30391" w:rsidRPr="007D4DDF">
        <w:rPr>
          <w:szCs w:val="24"/>
        </w:rPr>
        <w:t xml:space="preserve"> </w:t>
      </w:r>
      <w:r w:rsidR="002820CB" w:rsidRPr="007D4DDF">
        <w:rPr>
          <w:szCs w:val="24"/>
        </w:rPr>
        <w:t>records the numbers of cases in the District Courts and the numbers of bailiffs’ actions. The data shows some 34</w:t>
      </w:r>
      <w:r w:rsidR="00AA5A13" w:rsidRPr="007D4DDF">
        <w:rPr>
          <w:szCs w:val="24"/>
        </w:rPr>
        <w:t xml:space="preserve"> </w:t>
      </w:r>
      <w:r w:rsidR="002820CB" w:rsidRPr="007D4DDF">
        <w:rPr>
          <w:szCs w:val="24"/>
        </w:rPr>
        <w:t>500 cases submitted in 2010, and 32</w:t>
      </w:r>
      <w:r w:rsidR="00AA5A13" w:rsidRPr="007D4DDF">
        <w:rPr>
          <w:szCs w:val="24"/>
        </w:rPr>
        <w:t xml:space="preserve"> </w:t>
      </w:r>
      <w:r w:rsidR="002820CB" w:rsidRPr="007D4DDF">
        <w:rPr>
          <w:szCs w:val="24"/>
        </w:rPr>
        <w:t>863 cases resolved, compared to 26</w:t>
      </w:r>
      <w:r w:rsidR="00AA5A13" w:rsidRPr="007D4DDF">
        <w:rPr>
          <w:szCs w:val="24"/>
        </w:rPr>
        <w:t xml:space="preserve"> </w:t>
      </w:r>
      <w:r w:rsidR="002820CB" w:rsidRPr="007D4DDF">
        <w:rPr>
          <w:szCs w:val="24"/>
        </w:rPr>
        <w:t>286 cases submitted in 2015, and 27</w:t>
      </w:r>
      <w:r w:rsidR="00AA5A13" w:rsidRPr="007D4DDF">
        <w:rPr>
          <w:szCs w:val="24"/>
        </w:rPr>
        <w:t xml:space="preserve"> </w:t>
      </w:r>
      <w:r w:rsidR="002820CB" w:rsidRPr="007D4DDF">
        <w:rPr>
          <w:szCs w:val="24"/>
        </w:rPr>
        <w:t>000 resolved.</w:t>
      </w:r>
      <w:r w:rsidR="00370404" w:rsidRPr="007D4DDF">
        <w:rPr>
          <w:rStyle w:val="FootnoteReference"/>
          <w:szCs w:val="24"/>
        </w:rPr>
        <w:footnoteReference w:id="166"/>
      </w:r>
      <w:r w:rsidR="002820CB" w:rsidRPr="007D4DDF">
        <w:rPr>
          <w:szCs w:val="24"/>
        </w:rPr>
        <w:t xml:space="preserve"> Of these cases, the obligation to provide social housing was upheld in 50 per cent of cases. The number of bailiffs’ actions </w:t>
      </w:r>
      <w:r w:rsidR="003F1DA3" w:rsidRPr="007D4DDF">
        <w:rPr>
          <w:szCs w:val="24"/>
        </w:rPr>
        <w:t xml:space="preserve">was </w:t>
      </w:r>
      <w:r w:rsidR="002820CB" w:rsidRPr="007D4DDF">
        <w:rPr>
          <w:szCs w:val="24"/>
        </w:rPr>
        <w:t>6569 in 2010, of which two</w:t>
      </w:r>
      <w:r w:rsidR="006771D4" w:rsidRPr="007D4DDF">
        <w:rPr>
          <w:szCs w:val="24"/>
        </w:rPr>
        <w:t>-</w:t>
      </w:r>
      <w:r w:rsidR="002820CB" w:rsidRPr="007D4DDF">
        <w:rPr>
          <w:szCs w:val="24"/>
        </w:rPr>
        <w:t>thirds required the provision of social housing to proceed. The numbers increased to almost 9000 in 2015.</w:t>
      </w:r>
    </w:p>
    <w:p w14:paraId="71F6D74F" w14:textId="77777777" w:rsidR="001A4592" w:rsidRPr="007D4DDF" w:rsidRDefault="002820CB" w:rsidP="00777703">
      <w:pPr>
        <w:spacing w:before="0" w:after="120" w:line="240" w:lineRule="auto"/>
        <w:rPr>
          <w:szCs w:val="24"/>
        </w:rPr>
      </w:pPr>
      <w:r w:rsidRPr="007D4DDF">
        <w:rPr>
          <w:szCs w:val="24"/>
        </w:rPr>
        <w:t>In Belgium, mortgage arrears rarely lead to evictions, as alternative solutions are pursued. The figures indicated that just over 1 per cent</w:t>
      </w:r>
      <w:r w:rsidR="00A30391" w:rsidRPr="007D4DDF">
        <w:rPr>
          <w:szCs w:val="24"/>
        </w:rPr>
        <w:t xml:space="preserve"> </w:t>
      </w:r>
      <w:r w:rsidRPr="007D4DDF">
        <w:rPr>
          <w:szCs w:val="24"/>
        </w:rPr>
        <w:t>of mortgage accounts are in arrears.</w:t>
      </w:r>
    </w:p>
    <w:p w14:paraId="25AEEAEF" w14:textId="77777777" w:rsidR="001A4592" w:rsidRPr="007D4DDF" w:rsidRDefault="002820CB" w:rsidP="00777703">
      <w:pPr>
        <w:spacing w:before="0" w:after="120" w:line="240" w:lineRule="auto"/>
        <w:rPr>
          <w:szCs w:val="24"/>
        </w:rPr>
      </w:pPr>
      <w:r w:rsidRPr="007D4DDF">
        <w:rPr>
          <w:szCs w:val="24"/>
        </w:rPr>
        <w:t>There have been significant increases in mortgage</w:t>
      </w:r>
      <w:r w:rsidR="00112951" w:rsidRPr="007D4DDF">
        <w:rPr>
          <w:szCs w:val="24"/>
        </w:rPr>
        <w:t>-</w:t>
      </w:r>
      <w:r w:rsidRPr="007D4DDF">
        <w:rPr>
          <w:szCs w:val="24"/>
        </w:rPr>
        <w:t xml:space="preserve">related evictions in Italy, concurrent with the </w:t>
      </w:r>
      <w:r w:rsidR="00FA1BFE" w:rsidRPr="007D4DDF">
        <w:rPr>
          <w:szCs w:val="24"/>
        </w:rPr>
        <w:t xml:space="preserve">economic </w:t>
      </w:r>
      <w:r w:rsidRPr="007D4DDF">
        <w:rPr>
          <w:szCs w:val="24"/>
        </w:rPr>
        <w:t>crisis, with one report by a banking federation showing increases of 160 per cent between 2008 and 2014, and a further increase of 18 per cent in 2015. In Slovenia, Ministry of Justice data covers repossessions of all immovable property</w:t>
      </w:r>
      <w:r w:rsidR="0079288A" w:rsidRPr="007D4DDF">
        <w:rPr>
          <w:szCs w:val="24"/>
        </w:rPr>
        <w:t>,</w:t>
      </w:r>
      <w:r w:rsidRPr="007D4DDF">
        <w:rPr>
          <w:szCs w:val="24"/>
        </w:rPr>
        <w:t xml:space="preserve"> </w:t>
      </w:r>
      <w:r w:rsidR="00FA1BFE" w:rsidRPr="007D4DDF">
        <w:rPr>
          <w:szCs w:val="24"/>
        </w:rPr>
        <w:t xml:space="preserve">both </w:t>
      </w:r>
      <w:r w:rsidRPr="007D4DDF">
        <w:rPr>
          <w:szCs w:val="24"/>
        </w:rPr>
        <w:t xml:space="preserve">residential and commercial. </w:t>
      </w:r>
      <w:proofErr w:type="spellStart"/>
      <w:r w:rsidRPr="007D4DDF">
        <w:rPr>
          <w:szCs w:val="24"/>
        </w:rPr>
        <w:t>Maša</w:t>
      </w:r>
      <w:proofErr w:type="spellEnd"/>
      <w:r w:rsidRPr="007D4DDF">
        <w:rPr>
          <w:szCs w:val="24"/>
        </w:rPr>
        <w:t xml:space="preserve"> </w:t>
      </w:r>
      <w:proofErr w:type="spellStart"/>
      <w:r w:rsidRPr="007D4DDF">
        <w:rPr>
          <w:szCs w:val="24"/>
        </w:rPr>
        <w:t>Filipovič</w:t>
      </w:r>
      <w:proofErr w:type="spellEnd"/>
      <w:r w:rsidRPr="007D4DDF">
        <w:rPr>
          <w:szCs w:val="24"/>
        </w:rPr>
        <w:t xml:space="preserve"> </w:t>
      </w:r>
      <w:proofErr w:type="spellStart"/>
      <w:r w:rsidRPr="007D4DDF">
        <w:rPr>
          <w:szCs w:val="24"/>
        </w:rPr>
        <w:t>Hrast</w:t>
      </w:r>
      <w:proofErr w:type="spellEnd"/>
      <w:r w:rsidRPr="007D4DDF">
        <w:rPr>
          <w:szCs w:val="24"/>
        </w:rPr>
        <w:t xml:space="preserve"> suggests that the figure </w:t>
      </w:r>
      <w:r w:rsidR="003F1DA3" w:rsidRPr="007D4DDF">
        <w:rPr>
          <w:szCs w:val="24"/>
        </w:rPr>
        <w:t>is</w:t>
      </w:r>
      <w:r w:rsidRPr="007D4DDF">
        <w:rPr>
          <w:szCs w:val="24"/>
        </w:rPr>
        <w:t xml:space="preserve"> less than 300 per annum, and the level of evictions from mortgaged property is quite low.</w:t>
      </w:r>
    </w:p>
    <w:p w14:paraId="4277A8C4" w14:textId="04334FC1" w:rsidR="001A4592" w:rsidRDefault="002820CB" w:rsidP="00777703">
      <w:pPr>
        <w:spacing w:before="0" w:after="120" w:line="240" w:lineRule="auto"/>
        <w:rPr>
          <w:szCs w:val="24"/>
        </w:rPr>
      </w:pPr>
      <w:r w:rsidRPr="007D4DDF">
        <w:rPr>
          <w:szCs w:val="24"/>
        </w:rPr>
        <w:t xml:space="preserve">While no comprehensive data </w:t>
      </w:r>
      <w:r w:rsidR="00D97FEC" w:rsidRPr="007D4DDF">
        <w:rPr>
          <w:szCs w:val="24"/>
        </w:rPr>
        <w:t xml:space="preserve">is </w:t>
      </w:r>
      <w:r w:rsidRPr="007D4DDF">
        <w:rPr>
          <w:szCs w:val="24"/>
        </w:rPr>
        <w:t xml:space="preserve">collated by Spanish </w:t>
      </w:r>
      <w:r w:rsidR="0000263C" w:rsidRPr="007D4DDF">
        <w:rPr>
          <w:szCs w:val="24"/>
        </w:rPr>
        <w:t>state</w:t>
      </w:r>
      <w:r w:rsidRPr="007D4DDF">
        <w:rPr>
          <w:szCs w:val="24"/>
        </w:rPr>
        <w:t xml:space="preserve"> agencies, research by Sergio </w:t>
      </w:r>
      <w:proofErr w:type="spellStart"/>
      <w:r w:rsidRPr="007D4DDF">
        <w:rPr>
          <w:szCs w:val="24"/>
        </w:rPr>
        <w:t>Nasarre</w:t>
      </w:r>
      <w:proofErr w:type="spellEnd"/>
      <w:r w:rsidR="00112951" w:rsidRPr="007D4DDF">
        <w:rPr>
          <w:szCs w:val="24"/>
        </w:rPr>
        <w:t>-</w:t>
      </w:r>
      <w:r w:rsidRPr="007D4DDF">
        <w:rPr>
          <w:szCs w:val="24"/>
        </w:rPr>
        <w:t xml:space="preserve">Aznar and Rosa Maria Garcia </w:t>
      </w:r>
      <w:proofErr w:type="spellStart"/>
      <w:r w:rsidRPr="007D4DDF">
        <w:rPr>
          <w:szCs w:val="24"/>
        </w:rPr>
        <w:t>Teruel</w:t>
      </w:r>
      <w:proofErr w:type="spellEnd"/>
      <w:r w:rsidRPr="007D4DDF">
        <w:rPr>
          <w:szCs w:val="24"/>
        </w:rPr>
        <w:t xml:space="preserve"> shows that the number of evictions </w:t>
      </w:r>
      <w:r w:rsidR="00D97FEC" w:rsidRPr="007D4DDF">
        <w:rPr>
          <w:szCs w:val="24"/>
        </w:rPr>
        <w:t xml:space="preserve">was </w:t>
      </w:r>
      <w:r w:rsidRPr="007D4DDF">
        <w:rPr>
          <w:szCs w:val="24"/>
        </w:rPr>
        <w:t>approximately 40</w:t>
      </w:r>
      <w:r w:rsidR="0079288A" w:rsidRPr="007D4DDF">
        <w:rPr>
          <w:szCs w:val="24"/>
        </w:rPr>
        <w:t xml:space="preserve"> </w:t>
      </w:r>
      <w:r w:rsidRPr="007D4DDF">
        <w:rPr>
          <w:szCs w:val="24"/>
        </w:rPr>
        <w:t>000 per annum between 2010 and 2013, and</w:t>
      </w:r>
      <w:r w:rsidR="00A30391" w:rsidRPr="007D4DDF">
        <w:rPr>
          <w:szCs w:val="24"/>
        </w:rPr>
        <w:t xml:space="preserve"> </w:t>
      </w:r>
      <w:r w:rsidRPr="007D4DDF">
        <w:rPr>
          <w:szCs w:val="24"/>
        </w:rPr>
        <w:t>30</w:t>
      </w:r>
      <w:r w:rsidR="004633B3" w:rsidRPr="007D4DDF">
        <w:rPr>
          <w:szCs w:val="24"/>
        </w:rPr>
        <w:t xml:space="preserve"> </w:t>
      </w:r>
      <w:r w:rsidR="0079288A" w:rsidRPr="007D4DDF">
        <w:rPr>
          <w:szCs w:val="24"/>
        </w:rPr>
        <w:t>0</w:t>
      </w:r>
      <w:r w:rsidRPr="007D4DDF">
        <w:rPr>
          <w:szCs w:val="24"/>
        </w:rPr>
        <w:t>00 per annum for 2014 and 2015.</w:t>
      </w:r>
      <w:r w:rsidR="00C97F84" w:rsidRPr="007D4DDF">
        <w:rPr>
          <w:szCs w:val="24"/>
        </w:rPr>
        <w:t xml:space="preserve"> </w:t>
      </w:r>
      <w:r w:rsidRPr="007D4DDF">
        <w:rPr>
          <w:szCs w:val="24"/>
        </w:rPr>
        <w:t xml:space="preserve">In the Netherlands, mortgage arrears are the main reason for owner-occupier evictions, but there is no central register of systematically collected data on these evictions. Figures from the NHGS reveal that forced sales of </w:t>
      </w:r>
      <w:r w:rsidR="00D97FEC" w:rsidRPr="007D4DDF">
        <w:rPr>
          <w:szCs w:val="24"/>
        </w:rPr>
        <w:t xml:space="preserve">mortgaged </w:t>
      </w:r>
      <w:r w:rsidRPr="007D4DDF">
        <w:rPr>
          <w:szCs w:val="24"/>
        </w:rPr>
        <w:t xml:space="preserve">properties rose from 1335 in 2010 to 4477 in 2015. Overall, </w:t>
      </w:r>
      <w:r w:rsidR="00D97FEC" w:rsidRPr="007D4DDF">
        <w:rPr>
          <w:szCs w:val="24"/>
        </w:rPr>
        <w:t xml:space="preserve">according to Michel Vols, </w:t>
      </w:r>
      <w:r w:rsidRPr="007D4DDF">
        <w:rPr>
          <w:szCs w:val="24"/>
        </w:rPr>
        <w:t>it is estimated that there are also 7</w:t>
      </w:r>
      <w:r w:rsidR="004633B3" w:rsidRPr="007D4DDF">
        <w:rPr>
          <w:szCs w:val="24"/>
        </w:rPr>
        <w:t xml:space="preserve"> </w:t>
      </w:r>
      <w:r w:rsidRPr="007D4DDF">
        <w:rPr>
          <w:szCs w:val="24"/>
        </w:rPr>
        <w:t>500 pre-court evictions from mortgaged properties. In the UK, pre-court actions are not recorded and court data on mortgage cases is collated by the Ministry of Justice. This shows that in England and Wales, claims for possession dropped from 75</w:t>
      </w:r>
      <w:r w:rsidR="0079288A" w:rsidRPr="007D4DDF">
        <w:rPr>
          <w:szCs w:val="24"/>
        </w:rPr>
        <w:t xml:space="preserve"> </w:t>
      </w:r>
      <w:r w:rsidRPr="007D4DDF">
        <w:rPr>
          <w:szCs w:val="24"/>
        </w:rPr>
        <w:t>000 in 2010 to 20</w:t>
      </w:r>
      <w:r w:rsidR="0079288A" w:rsidRPr="007D4DDF">
        <w:rPr>
          <w:szCs w:val="24"/>
        </w:rPr>
        <w:t xml:space="preserve"> </w:t>
      </w:r>
      <w:r w:rsidRPr="007D4DDF">
        <w:rPr>
          <w:szCs w:val="24"/>
        </w:rPr>
        <w:t xml:space="preserve">000 in 2015, while execution of </w:t>
      </w:r>
      <w:r w:rsidRPr="007D4DDF">
        <w:rPr>
          <w:szCs w:val="24"/>
        </w:rPr>
        <w:lastRenderedPageBreak/>
        <w:t>possession orders by bailiffs decreased from 21</w:t>
      </w:r>
      <w:r w:rsidR="0079288A" w:rsidRPr="007D4DDF">
        <w:rPr>
          <w:szCs w:val="24"/>
        </w:rPr>
        <w:t xml:space="preserve"> </w:t>
      </w:r>
      <w:r w:rsidRPr="007D4DDF">
        <w:rPr>
          <w:szCs w:val="24"/>
        </w:rPr>
        <w:t>000 in 2010 to 2</w:t>
      </w:r>
      <w:r w:rsidR="004633B3" w:rsidRPr="007D4DDF">
        <w:rPr>
          <w:szCs w:val="24"/>
        </w:rPr>
        <w:t xml:space="preserve"> </w:t>
      </w:r>
      <w:r w:rsidRPr="007D4DDF">
        <w:rPr>
          <w:szCs w:val="24"/>
        </w:rPr>
        <w:t>000 in 2015. Available data indicates</w:t>
      </w:r>
      <w:r w:rsidR="00A30391" w:rsidRPr="007D4DDF">
        <w:rPr>
          <w:szCs w:val="24"/>
        </w:rPr>
        <w:t xml:space="preserve"> </w:t>
      </w:r>
      <w:r w:rsidRPr="007D4DDF">
        <w:rPr>
          <w:szCs w:val="24"/>
        </w:rPr>
        <w:t>a two-thirds fall also in the period for Scotland and Northern Ireland.</w:t>
      </w:r>
    </w:p>
    <w:p w14:paraId="3F87622D" w14:textId="77777777" w:rsidR="006E160F" w:rsidRPr="007D4DDF" w:rsidRDefault="006E160F" w:rsidP="00777703">
      <w:pPr>
        <w:spacing w:before="0" w:after="120" w:line="240" w:lineRule="auto"/>
        <w:rPr>
          <w:szCs w:val="24"/>
        </w:rPr>
      </w:pPr>
    </w:p>
    <w:p w14:paraId="03924E29" w14:textId="5CB2940F" w:rsidR="001A4592" w:rsidRPr="007D4DDF" w:rsidRDefault="004633B3" w:rsidP="00777703">
      <w:pPr>
        <w:pStyle w:val="Heading2"/>
        <w:spacing w:before="0" w:after="120" w:line="240" w:lineRule="auto"/>
        <w:ind w:left="1134" w:hanging="1134"/>
        <w:rPr>
          <w:rFonts w:ascii="Times New Roman" w:hAnsi="Times New Roman"/>
        </w:rPr>
      </w:pPr>
      <w:bookmarkStart w:id="25" w:name="_Toc508191212"/>
      <w:r w:rsidRPr="007D4DDF">
        <w:rPr>
          <w:rFonts w:ascii="Times New Roman" w:hAnsi="Times New Roman"/>
        </w:rPr>
        <w:t>5.2</w:t>
      </w:r>
      <w:r w:rsidR="006E160F">
        <w:rPr>
          <w:rFonts w:ascii="Times New Roman" w:hAnsi="Times New Roman"/>
        </w:rPr>
        <w:t>.</w:t>
      </w:r>
      <w:r w:rsidR="00302E74">
        <w:rPr>
          <w:rFonts w:ascii="Times New Roman" w:hAnsi="Times New Roman"/>
        </w:rPr>
        <w:t xml:space="preserve"> </w:t>
      </w:r>
      <w:r w:rsidR="002820CB" w:rsidRPr="007D4DDF">
        <w:rPr>
          <w:rFonts w:ascii="Times New Roman" w:hAnsi="Times New Roman"/>
        </w:rPr>
        <w:t xml:space="preserve">Evictions from </w:t>
      </w:r>
      <w:r w:rsidRPr="007D4DDF">
        <w:rPr>
          <w:rFonts w:ascii="Times New Roman" w:hAnsi="Times New Roman"/>
        </w:rPr>
        <w:t>P</w:t>
      </w:r>
      <w:r w:rsidR="002820CB" w:rsidRPr="007D4DDF">
        <w:rPr>
          <w:rFonts w:ascii="Times New Roman" w:hAnsi="Times New Roman"/>
        </w:rPr>
        <w:t>rivate/</w:t>
      </w:r>
      <w:r w:rsidRPr="007D4DDF">
        <w:rPr>
          <w:rFonts w:ascii="Times New Roman" w:hAnsi="Times New Roman"/>
        </w:rPr>
        <w:t>S</w:t>
      </w:r>
      <w:r w:rsidR="002820CB" w:rsidRPr="007D4DDF">
        <w:rPr>
          <w:rFonts w:ascii="Times New Roman" w:hAnsi="Times New Roman"/>
        </w:rPr>
        <w:t xml:space="preserve">ocial </w:t>
      </w:r>
      <w:r w:rsidRPr="007D4DDF">
        <w:rPr>
          <w:rFonts w:ascii="Times New Roman" w:hAnsi="Times New Roman"/>
        </w:rPr>
        <w:t>R</w:t>
      </w:r>
      <w:r w:rsidR="002820CB" w:rsidRPr="007D4DDF">
        <w:rPr>
          <w:rFonts w:ascii="Times New Roman" w:hAnsi="Times New Roman"/>
        </w:rPr>
        <w:t xml:space="preserve">ented </w:t>
      </w:r>
      <w:r w:rsidRPr="007D4DDF">
        <w:rPr>
          <w:rFonts w:ascii="Times New Roman" w:hAnsi="Times New Roman"/>
        </w:rPr>
        <w:t>H</w:t>
      </w:r>
      <w:r w:rsidR="002820CB" w:rsidRPr="007D4DDF">
        <w:rPr>
          <w:rFonts w:ascii="Times New Roman" w:hAnsi="Times New Roman"/>
        </w:rPr>
        <w:t>ousing</w:t>
      </w:r>
      <w:bookmarkEnd w:id="25"/>
    </w:p>
    <w:p w14:paraId="1ECD1E0A" w14:textId="77777777" w:rsidR="001A4592" w:rsidRPr="007D4DDF" w:rsidRDefault="002820CB" w:rsidP="00395E14">
      <w:pPr>
        <w:spacing w:before="0" w:after="120" w:line="240" w:lineRule="auto"/>
        <w:rPr>
          <w:szCs w:val="24"/>
        </w:rPr>
      </w:pPr>
      <w:r w:rsidRPr="007D4DDF">
        <w:rPr>
          <w:szCs w:val="24"/>
        </w:rPr>
        <w:t>The data in relation to evictions from private/social rented housing is not universally collated, although studies in some regions, and on types of tenure, have yielded some useful estimates. One major issue identified in the Italian, Hungarian and Slovenian research</w:t>
      </w:r>
      <w:r w:rsidR="0079288A" w:rsidRPr="007D4DDF">
        <w:rPr>
          <w:szCs w:val="24"/>
        </w:rPr>
        <w:t>,</w:t>
      </w:r>
      <w:r w:rsidRPr="007D4DDF">
        <w:rPr>
          <w:szCs w:val="24"/>
        </w:rPr>
        <w:t xml:space="preserve"> was the absence of records in relation to the unofficial private rented sector. In some cases, this can amount to a larger element of housing stock than the regulated sector, and therefore statistics on eviction for rented housing will almost always be a gross underestimate. The exceptions are Belgium, Germany and Ireland</w:t>
      </w:r>
      <w:r w:rsidR="00D97FEC" w:rsidRPr="007D4DDF">
        <w:rPr>
          <w:szCs w:val="24"/>
        </w:rPr>
        <w:t>,</w:t>
      </w:r>
      <w:r w:rsidRPr="007D4DDF">
        <w:rPr>
          <w:szCs w:val="24"/>
        </w:rPr>
        <w:t xml:space="preserve"> where the sector is somewhat better regulated. In Belgium, some 12</w:t>
      </w:r>
      <w:r w:rsidR="0079288A" w:rsidRPr="007D4DDF">
        <w:rPr>
          <w:szCs w:val="24"/>
        </w:rPr>
        <w:t xml:space="preserve"> </w:t>
      </w:r>
      <w:r w:rsidRPr="007D4DDF">
        <w:rPr>
          <w:szCs w:val="24"/>
        </w:rPr>
        <w:t>000 eviction procedures are instigated in Flanders annually, and about one in three instigated procedures result</w:t>
      </w:r>
      <w:r w:rsidR="00622872" w:rsidRPr="007D4DDF">
        <w:rPr>
          <w:szCs w:val="24"/>
        </w:rPr>
        <w:t>s</w:t>
      </w:r>
      <w:r w:rsidRPr="007D4DDF">
        <w:rPr>
          <w:szCs w:val="24"/>
        </w:rPr>
        <w:t xml:space="preserve"> in eviction for rent arrears. When behavioural problems are the issue, tenants are evicted in six out of ten cases. A combination of both </w:t>
      </w:r>
      <w:r w:rsidR="002F08C8">
        <w:rPr>
          <w:szCs w:val="24"/>
        </w:rPr>
        <w:t xml:space="preserve">rent arrears and behavioural problems </w:t>
      </w:r>
      <w:r w:rsidRPr="007D4DDF">
        <w:rPr>
          <w:szCs w:val="24"/>
        </w:rPr>
        <w:t>leads to 80 per cent of cases resulting in eviction.</w:t>
      </w:r>
    </w:p>
    <w:p w14:paraId="3E062061" w14:textId="77777777" w:rsidR="001A4592" w:rsidRPr="007D4DDF" w:rsidRDefault="002820CB" w:rsidP="00777703">
      <w:pPr>
        <w:spacing w:before="0" w:after="120" w:line="240" w:lineRule="auto"/>
        <w:rPr>
          <w:szCs w:val="24"/>
        </w:rPr>
      </w:pPr>
      <w:r w:rsidRPr="007D4DDF">
        <w:rPr>
          <w:szCs w:val="24"/>
        </w:rPr>
        <w:t>In Hungary, less than a dozen households are officially evicted from the private rented sector, although the figure is estimated to be much higher in reality. In relation to social housing, the figure can reach 50</w:t>
      </w:r>
      <w:r w:rsidR="00A30391" w:rsidRPr="007D4DDF">
        <w:rPr>
          <w:szCs w:val="24"/>
        </w:rPr>
        <w:t>0</w:t>
      </w:r>
      <w:r w:rsidR="0079288A" w:rsidRPr="007D4DDF">
        <w:rPr>
          <w:szCs w:val="24"/>
        </w:rPr>
        <w:t xml:space="preserve"> to </w:t>
      </w:r>
      <w:r w:rsidR="00A30391" w:rsidRPr="007D4DDF">
        <w:rPr>
          <w:szCs w:val="24"/>
        </w:rPr>
        <w:t>1</w:t>
      </w:r>
      <w:r w:rsidRPr="007D4DDF">
        <w:rPr>
          <w:szCs w:val="24"/>
        </w:rPr>
        <w:t>000 per year, according to the Hungarian experts.</w:t>
      </w:r>
    </w:p>
    <w:p w14:paraId="0C14EC4D" w14:textId="77777777" w:rsidR="001A4592" w:rsidRPr="007D4DDF" w:rsidRDefault="002820CB" w:rsidP="00777703">
      <w:pPr>
        <w:spacing w:before="0" w:after="120" w:line="240" w:lineRule="auto"/>
        <w:rPr>
          <w:szCs w:val="24"/>
        </w:rPr>
      </w:pPr>
      <w:r w:rsidRPr="007D4DDF">
        <w:rPr>
          <w:szCs w:val="24"/>
        </w:rPr>
        <w:t>Elena</w:t>
      </w:r>
      <w:r w:rsidRPr="007D4DDF">
        <w:rPr>
          <w:b/>
          <w:szCs w:val="24"/>
        </w:rPr>
        <w:t xml:space="preserve"> </w:t>
      </w:r>
      <w:proofErr w:type="spellStart"/>
      <w:r w:rsidRPr="007D4DDF">
        <w:rPr>
          <w:szCs w:val="24"/>
        </w:rPr>
        <w:t>Bargelli</w:t>
      </w:r>
      <w:proofErr w:type="spellEnd"/>
      <w:r w:rsidRPr="007D4DDF">
        <w:rPr>
          <w:szCs w:val="24"/>
        </w:rPr>
        <w:t xml:space="preserve"> and </w:t>
      </w:r>
      <w:r w:rsidR="00817C96">
        <w:rPr>
          <w:szCs w:val="24"/>
        </w:rPr>
        <w:t>Giulia</w:t>
      </w:r>
      <w:r w:rsidRPr="007D4DDF">
        <w:rPr>
          <w:szCs w:val="24"/>
        </w:rPr>
        <w:t xml:space="preserve"> </w:t>
      </w:r>
      <w:proofErr w:type="spellStart"/>
      <w:r w:rsidRPr="007D4DDF">
        <w:rPr>
          <w:szCs w:val="24"/>
        </w:rPr>
        <w:t>Donadio</w:t>
      </w:r>
      <w:proofErr w:type="spellEnd"/>
      <w:r w:rsidRPr="007D4DDF">
        <w:rPr>
          <w:szCs w:val="24"/>
        </w:rPr>
        <w:t xml:space="preserve"> have found that evictions</w:t>
      </w:r>
      <w:r w:rsidR="00877182" w:rsidRPr="007D4DDF">
        <w:rPr>
          <w:szCs w:val="24"/>
        </w:rPr>
        <w:t xml:space="preserve"> </w:t>
      </w:r>
      <w:r w:rsidRPr="007D4DDF">
        <w:rPr>
          <w:szCs w:val="24"/>
        </w:rPr>
        <w:t xml:space="preserve">from private rented accommodation </w:t>
      </w:r>
      <w:r w:rsidR="00622872" w:rsidRPr="007D4DDF">
        <w:rPr>
          <w:szCs w:val="24"/>
        </w:rPr>
        <w:t xml:space="preserve">in Italy </w:t>
      </w:r>
      <w:r w:rsidRPr="007D4DDF">
        <w:rPr>
          <w:szCs w:val="24"/>
        </w:rPr>
        <w:t>are increasing, though not dramatically, and in any case, there is a significant unofficial market. In the rented sector, between 2008 and 2014 there was an increase of 50 per cent. In the private rented sector, eviction notices for non-payment of rent doubled between 2007 and 2013. Evictions from social housing are not widespread</w:t>
      </w:r>
      <w:r w:rsidR="00FA1BFE" w:rsidRPr="007D4DDF">
        <w:rPr>
          <w:szCs w:val="24"/>
        </w:rPr>
        <w:t xml:space="preserve"> in Italy</w:t>
      </w:r>
      <w:r w:rsidRPr="007D4DDF">
        <w:rPr>
          <w:szCs w:val="24"/>
        </w:rPr>
        <w:t>.</w:t>
      </w:r>
    </w:p>
    <w:p w14:paraId="19BA0F41" w14:textId="77777777" w:rsidR="001A4592" w:rsidRPr="007D4DDF" w:rsidRDefault="002820CB" w:rsidP="00777703">
      <w:pPr>
        <w:spacing w:before="0" w:after="120" w:line="240" w:lineRule="auto"/>
        <w:rPr>
          <w:szCs w:val="24"/>
        </w:rPr>
      </w:pPr>
      <w:r w:rsidRPr="007D4DDF">
        <w:rPr>
          <w:szCs w:val="24"/>
        </w:rPr>
        <w:t xml:space="preserve">The trend in </w:t>
      </w:r>
      <w:r w:rsidR="00FA1BFE" w:rsidRPr="007D4DDF">
        <w:rPr>
          <w:szCs w:val="24"/>
        </w:rPr>
        <w:t xml:space="preserve">evictions from private sector tenancies in </w:t>
      </w:r>
      <w:r w:rsidRPr="007D4DDF">
        <w:rPr>
          <w:szCs w:val="24"/>
        </w:rPr>
        <w:t xml:space="preserve">Ireland as </w:t>
      </w:r>
      <w:r w:rsidR="00FA1BFE" w:rsidRPr="007D4DDF">
        <w:rPr>
          <w:szCs w:val="24"/>
        </w:rPr>
        <w:t xml:space="preserve">published </w:t>
      </w:r>
      <w:r w:rsidRPr="007D4DDF">
        <w:rPr>
          <w:szCs w:val="24"/>
        </w:rPr>
        <w:t xml:space="preserve">by the RTB involved a growth in </w:t>
      </w:r>
      <w:r w:rsidR="002177FC" w:rsidRPr="007D4DDF">
        <w:rPr>
          <w:szCs w:val="24"/>
        </w:rPr>
        <w:t>eviction-</w:t>
      </w:r>
      <w:r w:rsidRPr="007D4DDF">
        <w:rPr>
          <w:szCs w:val="24"/>
        </w:rPr>
        <w:t>related cases from 580 in 2010 to 3000 in 2015</w:t>
      </w:r>
      <w:r w:rsidR="00877182" w:rsidRPr="007D4DDF">
        <w:rPr>
          <w:szCs w:val="24"/>
        </w:rPr>
        <w:t xml:space="preserve"> – a six-fold increase</w:t>
      </w:r>
      <w:r w:rsidRPr="007D4DDF">
        <w:rPr>
          <w:szCs w:val="24"/>
        </w:rPr>
        <w:t>. Padraic Kenna shows that evictions from social housing remained at relatively low levels.</w:t>
      </w:r>
    </w:p>
    <w:p w14:paraId="11E7FCD2" w14:textId="77777777" w:rsidR="001A4592" w:rsidRPr="007D4DDF" w:rsidRDefault="002F08C8" w:rsidP="00777703">
      <w:pPr>
        <w:spacing w:before="0" w:after="120" w:line="240" w:lineRule="auto"/>
        <w:rPr>
          <w:szCs w:val="24"/>
        </w:rPr>
      </w:pPr>
      <w:r>
        <w:rPr>
          <w:szCs w:val="24"/>
        </w:rPr>
        <w:t xml:space="preserve">For </w:t>
      </w:r>
      <w:r w:rsidR="002820CB" w:rsidRPr="007D4DDF">
        <w:rPr>
          <w:szCs w:val="24"/>
        </w:rPr>
        <w:t xml:space="preserve">Slovenia, a report on social housing from </w:t>
      </w:r>
      <w:proofErr w:type="spellStart"/>
      <w:r w:rsidR="002820CB" w:rsidRPr="007D4DDF">
        <w:rPr>
          <w:szCs w:val="24"/>
        </w:rPr>
        <w:t>Ljubliana</w:t>
      </w:r>
      <w:proofErr w:type="spellEnd"/>
      <w:r w:rsidR="002820CB" w:rsidRPr="007D4DDF">
        <w:rPr>
          <w:szCs w:val="24"/>
        </w:rPr>
        <w:t xml:space="preserve"> </w:t>
      </w:r>
      <w:r w:rsidR="00877182" w:rsidRPr="007D4DDF">
        <w:rPr>
          <w:szCs w:val="24"/>
        </w:rPr>
        <w:t>revealed</w:t>
      </w:r>
      <w:r w:rsidR="002820CB" w:rsidRPr="007D4DDF">
        <w:rPr>
          <w:szCs w:val="24"/>
        </w:rPr>
        <w:t xml:space="preserve"> very small numbers of evictions</w:t>
      </w:r>
      <w:r w:rsidR="0079288A" w:rsidRPr="007D4DDF">
        <w:rPr>
          <w:szCs w:val="24"/>
        </w:rPr>
        <w:t>,</w:t>
      </w:r>
      <w:r w:rsidR="002177FC" w:rsidRPr="007D4DDF">
        <w:rPr>
          <w:szCs w:val="24"/>
        </w:rPr>
        <w:t xml:space="preserve"> </w:t>
      </w:r>
      <w:r w:rsidR="002820CB" w:rsidRPr="007D4DDF">
        <w:rPr>
          <w:szCs w:val="24"/>
        </w:rPr>
        <w:t xml:space="preserve">between 10 and 30 per annum. However, a study in </w:t>
      </w:r>
      <w:proofErr w:type="spellStart"/>
      <w:r w:rsidR="002820CB" w:rsidRPr="007D4DDF">
        <w:rPr>
          <w:szCs w:val="24"/>
        </w:rPr>
        <w:t>Ljubliana</w:t>
      </w:r>
      <w:proofErr w:type="spellEnd"/>
      <w:r w:rsidR="002820CB" w:rsidRPr="007D4DDF">
        <w:rPr>
          <w:szCs w:val="24"/>
        </w:rPr>
        <w:t xml:space="preserve"> dating from 2013 and described by </w:t>
      </w:r>
      <w:proofErr w:type="spellStart"/>
      <w:r w:rsidR="002820CB" w:rsidRPr="007D4DDF">
        <w:rPr>
          <w:szCs w:val="24"/>
        </w:rPr>
        <w:t>Maša</w:t>
      </w:r>
      <w:proofErr w:type="spellEnd"/>
      <w:r w:rsidR="002820CB" w:rsidRPr="007D4DDF">
        <w:rPr>
          <w:szCs w:val="24"/>
        </w:rPr>
        <w:t xml:space="preserve"> </w:t>
      </w:r>
      <w:proofErr w:type="spellStart"/>
      <w:r w:rsidR="002820CB" w:rsidRPr="007D4DDF">
        <w:rPr>
          <w:szCs w:val="24"/>
        </w:rPr>
        <w:t>Filipovič</w:t>
      </w:r>
      <w:proofErr w:type="spellEnd"/>
      <w:r w:rsidR="002820CB" w:rsidRPr="007D4DDF">
        <w:rPr>
          <w:szCs w:val="24"/>
        </w:rPr>
        <w:t xml:space="preserve"> </w:t>
      </w:r>
      <w:proofErr w:type="spellStart"/>
      <w:r w:rsidR="002820CB" w:rsidRPr="007D4DDF">
        <w:rPr>
          <w:szCs w:val="24"/>
        </w:rPr>
        <w:t>Hrast</w:t>
      </w:r>
      <w:proofErr w:type="spellEnd"/>
      <w:r w:rsidR="0079288A" w:rsidRPr="007D4DDF">
        <w:rPr>
          <w:szCs w:val="24"/>
        </w:rPr>
        <w:t>,</w:t>
      </w:r>
      <w:r w:rsidR="002820CB" w:rsidRPr="007D4DDF">
        <w:rPr>
          <w:szCs w:val="24"/>
        </w:rPr>
        <w:t xml:space="preserve"> found that</w:t>
      </w:r>
      <w:r w:rsidR="00877182" w:rsidRPr="007D4DDF">
        <w:rPr>
          <w:szCs w:val="24"/>
        </w:rPr>
        <w:t xml:space="preserve"> </w:t>
      </w:r>
      <w:r w:rsidR="002820CB" w:rsidRPr="007D4DDF">
        <w:rPr>
          <w:szCs w:val="24"/>
        </w:rPr>
        <w:t>11 per cent</w:t>
      </w:r>
      <w:r w:rsidR="00A30391" w:rsidRPr="007D4DDF">
        <w:rPr>
          <w:szCs w:val="24"/>
        </w:rPr>
        <w:t xml:space="preserve"> </w:t>
      </w:r>
      <w:r w:rsidR="002820CB" w:rsidRPr="007D4DDF">
        <w:rPr>
          <w:szCs w:val="24"/>
        </w:rPr>
        <w:t>of private landlords wished to rent without a contract, th</w:t>
      </w:r>
      <w:r w:rsidR="00877182" w:rsidRPr="007D4DDF">
        <w:rPr>
          <w:szCs w:val="24"/>
        </w:rPr>
        <w:t xml:space="preserve">us </w:t>
      </w:r>
      <w:r w:rsidR="002820CB" w:rsidRPr="007D4DDF">
        <w:rPr>
          <w:szCs w:val="24"/>
        </w:rPr>
        <w:t>avoiding inclusion in official data</w:t>
      </w:r>
      <w:r w:rsidR="00877182" w:rsidRPr="007D4DDF">
        <w:rPr>
          <w:szCs w:val="24"/>
        </w:rPr>
        <w:t xml:space="preserve">. </w:t>
      </w:r>
      <w:r w:rsidR="002820CB" w:rsidRPr="007D4DDF">
        <w:rPr>
          <w:szCs w:val="24"/>
        </w:rPr>
        <w:t xml:space="preserve">In Spain, the estimates are </w:t>
      </w:r>
      <w:r w:rsidR="002177FC" w:rsidRPr="007D4DDF">
        <w:rPr>
          <w:szCs w:val="24"/>
        </w:rPr>
        <w:t>23</w:t>
      </w:r>
      <w:r w:rsidR="0079288A" w:rsidRPr="007D4DDF">
        <w:rPr>
          <w:szCs w:val="24"/>
        </w:rPr>
        <w:t xml:space="preserve"> </w:t>
      </w:r>
      <w:r w:rsidR="002820CB" w:rsidRPr="007D4DDF">
        <w:rPr>
          <w:szCs w:val="24"/>
        </w:rPr>
        <w:t xml:space="preserve">000 in 2010 to </w:t>
      </w:r>
      <w:r w:rsidR="002177FC" w:rsidRPr="007D4DDF">
        <w:rPr>
          <w:szCs w:val="24"/>
        </w:rPr>
        <w:t>36</w:t>
      </w:r>
      <w:r w:rsidR="0079288A" w:rsidRPr="007D4DDF">
        <w:rPr>
          <w:szCs w:val="24"/>
        </w:rPr>
        <w:t xml:space="preserve"> </w:t>
      </w:r>
      <w:r w:rsidR="002820CB" w:rsidRPr="007D4DDF">
        <w:rPr>
          <w:szCs w:val="24"/>
        </w:rPr>
        <w:t xml:space="preserve">000 in 2015, but again the data is not universal, and includes some other buildings and </w:t>
      </w:r>
      <w:r w:rsidR="001E1243" w:rsidRPr="007D4DDF">
        <w:rPr>
          <w:szCs w:val="24"/>
        </w:rPr>
        <w:t xml:space="preserve">mainly </w:t>
      </w:r>
      <w:r w:rsidR="002820CB" w:rsidRPr="007D4DDF">
        <w:rPr>
          <w:szCs w:val="24"/>
        </w:rPr>
        <w:t>relates to private and social rented housing. Comprehensive data is not available in the Netherlands</w:t>
      </w:r>
      <w:r w:rsidR="006C6854" w:rsidRPr="007D4DDF">
        <w:rPr>
          <w:szCs w:val="24"/>
        </w:rPr>
        <w:t xml:space="preserve"> either</w:t>
      </w:r>
      <w:r>
        <w:rPr>
          <w:szCs w:val="24"/>
        </w:rPr>
        <w:t xml:space="preserve">. However, </w:t>
      </w:r>
      <w:r w:rsidR="002820CB" w:rsidRPr="007D4DDF">
        <w:rPr>
          <w:szCs w:val="24"/>
        </w:rPr>
        <w:t xml:space="preserve">research by AEDES (Dutch </w:t>
      </w:r>
      <w:r w:rsidR="007D4DDF" w:rsidRPr="007D4DDF">
        <w:rPr>
          <w:szCs w:val="24"/>
        </w:rPr>
        <w:t>organi</w:t>
      </w:r>
      <w:r w:rsidR="007D4DDF">
        <w:rPr>
          <w:szCs w:val="24"/>
        </w:rPr>
        <w:t>z</w:t>
      </w:r>
      <w:r w:rsidR="007D4DDF" w:rsidRPr="007D4DDF">
        <w:rPr>
          <w:szCs w:val="24"/>
        </w:rPr>
        <w:t xml:space="preserve">ation </w:t>
      </w:r>
      <w:r w:rsidR="002820CB" w:rsidRPr="007D4DDF">
        <w:rPr>
          <w:szCs w:val="24"/>
        </w:rPr>
        <w:t>of housing associations</w:t>
      </w:r>
      <w:r w:rsidR="00D94EE2" w:rsidRPr="007D4DDF">
        <w:rPr>
          <w:szCs w:val="24"/>
        </w:rPr>
        <w:t>)</w:t>
      </w:r>
      <w:r w:rsidR="0079288A" w:rsidRPr="007D4DDF">
        <w:rPr>
          <w:szCs w:val="24"/>
        </w:rPr>
        <w:t>,</w:t>
      </w:r>
      <w:r w:rsidR="002820CB" w:rsidRPr="007D4DDF">
        <w:rPr>
          <w:szCs w:val="24"/>
        </w:rPr>
        <w:t xml:space="preserve"> indicates 19</w:t>
      </w:r>
      <w:r w:rsidR="0079288A" w:rsidRPr="007D4DDF">
        <w:rPr>
          <w:szCs w:val="24"/>
        </w:rPr>
        <w:t xml:space="preserve"> </w:t>
      </w:r>
      <w:r w:rsidR="002820CB" w:rsidRPr="007D4DDF">
        <w:rPr>
          <w:szCs w:val="24"/>
        </w:rPr>
        <w:t>00</w:t>
      </w:r>
      <w:r w:rsidR="00A30391" w:rsidRPr="007D4DDF">
        <w:rPr>
          <w:szCs w:val="24"/>
        </w:rPr>
        <w:t>0</w:t>
      </w:r>
      <w:r w:rsidR="0079288A" w:rsidRPr="007D4DDF">
        <w:rPr>
          <w:szCs w:val="24"/>
        </w:rPr>
        <w:t xml:space="preserve"> to</w:t>
      </w:r>
      <w:r w:rsidR="00E7611D" w:rsidRPr="007D4DDF">
        <w:rPr>
          <w:szCs w:val="24"/>
        </w:rPr>
        <w:t xml:space="preserve"> </w:t>
      </w:r>
      <w:r w:rsidR="00A30391" w:rsidRPr="007D4DDF">
        <w:rPr>
          <w:szCs w:val="24"/>
        </w:rPr>
        <w:t>2</w:t>
      </w:r>
      <w:r w:rsidR="002820CB" w:rsidRPr="007D4DDF">
        <w:rPr>
          <w:szCs w:val="24"/>
        </w:rPr>
        <w:t>3</w:t>
      </w:r>
      <w:r w:rsidR="0079288A" w:rsidRPr="007D4DDF">
        <w:rPr>
          <w:szCs w:val="24"/>
        </w:rPr>
        <w:t xml:space="preserve"> </w:t>
      </w:r>
      <w:r w:rsidR="002820CB" w:rsidRPr="007D4DDF">
        <w:rPr>
          <w:szCs w:val="24"/>
        </w:rPr>
        <w:t>000 eviction judgments per annum, with 2</w:t>
      </w:r>
      <w:r w:rsidR="00A30391" w:rsidRPr="007D4DDF">
        <w:rPr>
          <w:szCs w:val="24"/>
        </w:rPr>
        <w:t>5–3</w:t>
      </w:r>
      <w:r w:rsidR="002820CB" w:rsidRPr="007D4DDF">
        <w:rPr>
          <w:szCs w:val="24"/>
        </w:rPr>
        <w:t>0 per cent of these executed by bailiffs. The actual number of evicted tenants is higher, as a further 170</w:t>
      </w:r>
      <w:r w:rsidR="00A30391" w:rsidRPr="007D4DDF">
        <w:rPr>
          <w:szCs w:val="24"/>
        </w:rPr>
        <w:t>0</w:t>
      </w:r>
      <w:r w:rsidR="0079288A" w:rsidRPr="007D4DDF">
        <w:rPr>
          <w:szCs w:val="24"/>
        </w:rPr>
        <w:t xml:space="preserve"> to </w:t>
      </w:r>
      <w:r w:rsidR="00A30391" w:rsidRPr="007D4DDF">
        <w:rPr>
          <w:szCs w:val="24"/>
        </w:rPr>
        <w:t>2</w:t>
      </w:r>
      <w:r w:rsidR="002820CB" w:rsidRPr="007D4DDF">
        <w:rPr>
          <w:szCs w:val="24"/>
        </w:rPr>
        <w:t>800 tenants left before the execution of the eviction order according to Michel Vols.</w:t>
      </w:r>
    </w:p>
    <w:p w14:paraId="0BDAAD5A" w14:textId="49ECE9B1" w:rsidR="001A4592" w:rsidRDefault="002820CB" w:rsidP="00777703">
      <w:pPr>
        <w:spacing w:before="0" w:after="120" w:line="240" w:lineRule="auto"/>
        <w:rPr>
          <w:szCs w:val="24"/>
        </w:rPr>
      </w:pPr>
      <w:r w:rsidRPr="007D4DDF">
        <w:rPr>
          <w:szCs w:val="24"/>
        </w:rPr>
        <w:t>In the UK, eviction claims by private and social landlords in England increased between 2010 and 2015, although actual evictions were less common. Data from the Ministry of Justice shows that claims issued rose from 135</w:t>
      </w:r>
      <w:r w:rsidR="0079288A" w:rsidRPr="007D4DDF">
        <w:rPr>
          <w:szCs w:val="24"/>
        </w:rPr>
        <w:t xml:space="preserve"> </w:t>
      </w:r>
      <w:r w:rsidRPr="007D4DDF">
        <w:rPr>
          <w:szCs w:val="24"/>
        </w:rPr>
        <w:t>000 in 2010 to 154</w:t>
      </w:r>
      <w:r w:rsidR="0079288A" w:rsidRPr="007D4DDF">
        <w:rPr>
          <w:szCs w:val="24"/>
        </w:rPr>
        <w:t xml:space="preserve"> </w:t>
      </w:r>
      <w:r w:rsidRPr="007D4DDF">
        <w:rPr>
          <w:szCs w:val="24"/>
        </w:rPr>
        <w:t>000, while the use of the accelerated procedure rose from 22</w:t>
      </w:r>
      <w:r w:rsidR="0079288A" w:rsidRPr="007D4DDF">
        <w:rPr>
          <w:szCs w:val="24"/>
        </w:rPr>
        <w:t xml:space="preserve"> </w:t>
      </w:r>
      <w:r w:rsidRPr="007D4DDF">
        <w:rPr>
          <w:szCs w:val="24"/>
        </w:rPr>
        <w:t>600 cases in 2010 to 38</w:t>
      </w:r>
      <w:r w:rsidR="0079288A" w:rsidRPr="007D4DDF">
        <w:rPr>
          <w:szCs w:val="24"/>
        </w:rPr>
        <w:t xml:space="preserve"> </w:t>
      </w:r>
      <w:r w:rsidRPr="007D4DDF">
        <w:rPr>
          <w:szCs w:val="24"/>
        </w:rPr>
        <w:t>400 in the period. Actual evictions from this sector increased from 26</w:t>
      </w:r>
      <w:r w:rsidR="0079288A" w:rsidRPr="007D4DDF">
        <w:rPr>
          <w:szCs w:val="24"/>
        </w:rPr>
        <w:t xml:space="preserve"> </w:t>
      </w:r>
      <w:r w:rsidRPr="007D4DDF">
        <w:rPr>
          <w:szCs w:val="24"/>
        </w:rPr>
        <w:t>700 in 2010 to 41</w:t>
      </w:r>
      <w:r w:rsidR="0079288A" w:rsidRPr="007D4DDF">
        <w:rPr>
          <w:szCs w:val="24"/>
        </w:rPr>
        <w:t xml:space="preserve"> </w:t>
      </w:r>
      <w:r w:rsidRPr="007D4DDF">
        <w:rPr>
          <w:szCs w:val="24"/>
        </w:rPr>
        <w:t xml:space="preserve">500 in </w:t>
      </w:r>
      <w:r w:rsidRPr="007D4DDF">
        <w:rPr>
          <w:szCs w:val="24"/>
        </w:rPr>
        <w:lastRenderedPageBreak/>
        <w:t xml:space="preserve">the period. In Scotland, where data includes evictions from </w:t>
      </w:r>
      <w:r w:rsidR="001929E2" w:rsidRPr="007D4DDF">
        <w:rPr>
          <w:szCs w:val="24"/>
        </w:rPr>
        <w:t xml:space="preserve">both </w:t>
      </w:r>
      <w:r w:rsidRPr="007D4DDF">
        <w:rPr>
          <w:szCs w:val="24"/>
        </w:rPr>
        <w:t>private and social rented housing, the figures remain broadly similar over the period.</w:t>
      </w:r>
    </w:p>
    <w:p w14:paraId="20CDFABA" w14:textId="77777777" w:rsidR="006E160F" w:rsidRPr="007D4DDF" w:rsidRDefault="006E160F" w:rsidP="00777703">
      <w:pPr>
        <w:spacing w:before="0" w:after="120" w:line="240" w:lineRule="auto"/>
        <w:rPr>
          <w:szCs w:val="24"/>
        </w:rPr>
      </w:pPr>
    </w:p>
    <w:p w14:paraId="5F391DDA" w14:textId="49FDE9B2" w:rsidR="001A4592" w:rsidRPr="007D4DDF" w:rsidRDefault="00B612C6" w:rsidP="008B1CB3">
      <w:pPr>
        <w:pStyle w:val="Heading2"/>
        <w:spacing w:before="0" w:after="120" w:line="240" w:lineRule="auto"/>
        <w:rPr>
          <w:rFonts w:ascii="Times New Roman" w:hAnsi="Times New Roman"/>
        </w:rPr>
      </w:pPr>
      <w:bookmarkStart w:id="26" w:name="_Toc508191213"/>
      <w:r w:rsidRPr="007D4DDF">
        <w:rPr>
          <w:rFonts w:ascii="Times New Roman" w:hAnsi="Times New Roman"/>
        </w:rPr>
        <w:t>5.3</w:t>
      </w:r>
      <w:r w:rsidR="006E160F">
        <w:rPr>
          <w:rFonts w:ascii="Times New Roman" w:hAnsi="Times New Roman"/>
        </w:rPr>
        <w:t>.</w:t>
      </w:r>
      <w:r w:rsidR="00205254">
        <w:rPr>
          <w:rFonts w:ascii="Times New Roman" w:hAnsi="Times New Roman"/>
        </w:rPr>
        <w:t xml:space="preserve"> </w:t>
      </w:r>
      <w:r w:rsidR="002820CB" w:rsidRPr="007D4DDF">
        <w:rPr>
          <w:rFonts w:ascii="Times New Roman" w:hAnsi="Times New Roman"/>
        </w:rPr>
        <w:t xml:space="preserve">Profile of </w:t>
      </w:r>
      <w:r w:rsidRPr="007D4DDF">
        <w:rPr>
          <w:rFonts w:ascii="Times New Roman" w:hAnsi="Times New Roman"/>
        </w:rPr>
        <w:t>T</w:t>
      </w:r>
      <w:r w:rsidR="002820CB" w:rsidRPr="007D4DDF">
        <w:rPr>
          <w:rFonts w:ascii="Times New Roman" w:hAnsi="Times New Roman"/>
        </w:rPr>
        <w:t xml:space="preserve">hose </w:t>
      </w:r>
      <w:r w:rsidRPr="007D4DDF">
        <w:rPr>
          <w:rFonts w:ascii="Times New Roman" w:hAnsi="Times New Roman"/>
        </w:rPr>
        <w:t>E</w:t>
      </w:r>
      <w:r w:rsidR="002820CB" w:rsidRPr="007D4DDF">
        <w:rPr>
          <w:rFonts w:ascii="Times New Roman" w:hAnsi="Times New Roman"/>
        </w:rPr>
        <w:t>victed</w:t>
      </w:r>
      <w:bookmarkEnd w:id="26"/>
    </w:p>
    <w:p w14:paraId="2D3B0AF7" w14:textId="191879BB" w:rsidR="001A4592" w:rsidRDefault="002820CB" w:rsidP="00395E14">
      <w:pPr>
        <w:spacing w:before="0" w:after="120" w:line="240" w:lineRule="auto"/>
        <w:rPr>
          <w:szCs w:val="24"/>
        </w:rPr>
      </w:pPr>
      <w:r w:rsidRPr="007D4DDF">
        <w:rPr>
          <w:szCs w:val="24"/>
        </w:rPr>
        <w:t xml:space="preserve">Many countries do not collate data on the profile of those evicted, although local and regional studies have proven very valuable in creating an impression of the key profiles. Research by Jana </w:t>
      </w:r>
      <w:proofErr w:type="spellStart"/>
      <w:r w:rsidRPr="007D4DDF">
        <w:rPr>
          <w:szCs w:val="24"/>
        </w:rPr>
        <w:t>Verstraete</w:t>
      </w:r>
      <w:proofErr w:type="spellEnd"/>
      <w:r w:rsidRPr="007D4DDF">
        <w:rPr>
          <w:szCs w:val="24"/>
        </w:rPr>
        <w:t xml:space="preserve">, Pascal De Decker and </w:t>
      </w:r>
      <w:proofErr w:type="spellStart"/>
      <w:r w:rsidRPr="007D4DDF">
        <w:rPr>
          <w:szCs w:val="24"/>
        </w:rPr>
        <w:t>Diederik</w:t>
      </w:r>
      <w:proofErr w:type="spellEnd"/>
      <w:r w:rsidRPr="007D4DDF">
        <w:rPr>
          <w:szCs w:val="24"/>
        </w:rPr>
        <w:t xml:space="preserve"> </w:t>
      </w:r>
      <w:proofErr w:type="spellStart"/>
      <w:r w:rsidRPr="007D4DDF">
        <w:rPr>
          <w:szCs w:val="24"/>
        </w:rPr>
        <w:t>Vermeir</w:t>
      </w:r>
      <w:proofErr w:type="spellEnd"/>
      <w:r w:rsidRPr="007D4DDF">
        <w:rPr>
          <w:szCs w:val="24"/>
        </w:rPr>
        <w:t xml:space="preserve"> suggest that, in Belgium, among evicted tenants</w:t>
      </w:r>
      <w:r w:rsidR="0079288A" w:rsidRPr="007D4DDF">
        <w:rPr>
          <w:szCs w:val="24"/>
        </w:rPr>
        <w:t>,</w:t>
      </w:r>
      <w:r w:rsidRPr="007D4DDF">
        <w:rPr>
          <w:szCs w:val="24"/>
        </w:rPr>
        <w:t xml:space="preserve"> some 50 per cent are men and 21 per cent are couples </w:t>
      </w:r>
      <w:r w:rsidR="006E1849" w:rsidRPr="007D4DDF">
        <w:rPr>
          <w:szCs w:val="24"/>
        </w:rPr>
        <w:t xml:space="preserve">composed </w:t>
      </w:r>
      <w:r w:rsidRPr="007D4DDF">
        <w:rPr>
          <w:szCs w:val="24"/>
        </w:rPr>
        <w:t xml:space="preserve">of </w:t>
      </w:r>
      <w:r w:rsidR="006E1849" w:rsidRPr="007D4DDF">
        <w:rPr>
          <w:szCs w:val="24"/>
        </w:rPr>
        <w:t xml:space="preserve">a </w:t>
      </w:r>
      <w:r w:rsidRPr="007D4DDF">
        <w:rPr>
          <w:szCs w:val="24"/>
        </w:rPr>
        <w:t xml:space="preserve">man and </w:t>
      </w:r>
      <w:r w:rsidR="006E1849" w:rsidRPr="007D4DDF">
        <w:rPr>
          <w:szCs w:val="24"/>
        </w:rPr>
        <w:t xml:space="preserve">a </w:t>
      </w:r>
      <w:r w:rsidRPr="007D4DDF">
        <w:rPr>
          <w:szCs w:val="24"/>
        </w:rPr>
        <w:t>woman. Some 40 per cent</w:t>
      </w:r>
      <w:r w:rsidR="00A30391" w:rsidRPr="007D4DDF">
        <w:rPr>
          <w:szCs w:val="24"/>
        </w:rPr>
        <w:t xml:space="preserve"> </w:t>
      </w:r>
      <w:r w:rsidRPr="007D4DDF">
        <w:rPr>
          <w:szCs w:val="24"/>
        </w:rPr>
        <w:t xml:space="preserve">were single persons with children. One study in </w:t>
      </w:r>
      <w:r w:rsidR="002F08C8">
        <w:rPr>
          <w:szCs w:val="24"/>
        </w:rPr>
        <w:t xml:space="preserve">the city of </w:t>
      </w:r>
      <w:r w:rsidRPr="007D4DDF">
        <w:rPr>
          <w:szCs w:val="24"/>
        </w:rPr>
        <w:t xml:space="preserve">Namur in 2010 showed that almost all those evicted were </w:t>
      </w:r>
      <w:r w:rsidR="006E1849" w:rsidRPr="007D4DDF">
        <w:rPr>
          <w:szCs w:val="24"/>
        </w:rPr>
        <w:t xml:space="preserve">dependent </w:t>
      </w:r>
      <w:r w:rsidRPr="007D4DDF">
        <w:rPr>
          <w:szCs w:val="24"/>
        </w:rPr>
        <w:t xml:space="preserve">on social welfare and households with children were involved in 50 per cent of cases. In Germany, research in Rhine Westphalia in 2012 showed that single persons without children made up 57 per cent of those evicted, while couples without children amounted to 9.6 per cent, and couples with children </w:t>
      </w:r>
      <w:r w:rsidR="000946BE" w:rsidRPr="007D4DDF">
        <w:rPr>
          <w:szCs w:val="24"/>
        </w:rPr>
        <w:t xml:space="preserve">to </w:t>
      </w:r>
      <w:r w:rsidRPr="007D4DDF">
        <w:rPr>
          <w:szCs w:val="24"/>
        </w:rPr>
        <w:t>16.7 per cent. Single parents made up 12 per cent of those evicted, and people with a migration background constituted 22 per cent of the total. There is no research on this issue in Ireland, Italy, Poland, Slovenia, Spain or the UK.</w:t>
      </w:r>
    </w:p>
    <w:p w14:paraId="5B02AB56" w14:textId="77777777" w:rsidR="006E160F" w:rsidRPr="007D4DDF" w:rsidRDefault="006E160F" w:rsidP="00395E14">
      <w:pPr>
        <w:spacing w:before="0" w:after="120" w:line="240" w:lineRule="auto"/>
        <w:rPr>
          <w:szCs w:val="24"/>
        </w:rPr>
      </w:pPr>
    </w:p>
    <w:p w14:paraId="4D20663E" w14:textId="419BCD5E" w:rsidR="001A4592" w:rsidRPr="007D4DDF" w:rsidRDefault="00DC4A06" w:rsidP="00777703">
      <w:pPr>
        <w:pStyle w:val="Heading2"/>
        <w:spacing w:before="0" w:after="120" w:line="240" w:lineRule="auto"/>
        <w:ind w:left="1134" w:hanging="1134"/>
        <w:rPr>
          <w:rFonts w:ascii="Times New Roman" w:hAnsi="Times New Roman"/>
        </w:rPr>
      </w:pPr>
      <w:bookmarkStart w:id="27" w:name="_Toc508191214"/>
      <w:r w:rsidRPr="007D4DDF">
        <w:rPr>
          <w:rFonts w:ascii="Times New Roman" w:hAnsi="Times New Roman"/>
        </w:rPr>
        <w:t>5.4</w:t>
      </w:r>
      <w:r w:rsidR="006E160F">
        <w:rPr>
          <w:rFonts w:ascii="Times New Roman" w:hAnsi="Times New Roman"/>
        </w:rPr>
        <w:t>.</w:t>
      </w:r>
      <w:r w:rsidR="00205254">
        <w:rPr>
          <w:rFonts w:ascii="Times New Roman" w:hAnsi="Times New Roman"/>
        </w:rPr>
        <w:t xml:space="preserve"> </w:t>
      </w:r>
      <w:r w:rsidR="002820CB" w:rsidRPr="007D4DDF">
        <w:rPr>
          <w:rFonts w:ascii="Times New Roman" w:hAnsi="Times New Roman"/>
        </w:rPr>
        <w:t xml:space="preserve">Risk </w:t>
      </w:r>
      <w:r w:rsidRPr="007D4DDF">
        <w:rPr>
          <w:rFonts w:ascii="Times New Roman" w:hAnsi="Times New Roman"/>
        </w:rPr>
        <w:t>F</w:t>
      </w:r>
      <w:r w:rsidR="002820CB" w:rsidRPr="007D4DDF">
        <w:rPr>
          <w:rFonts w:ascii="Times New Roman" w:hAnsi="Times New Roman"/>
        </w:rPr>
        <w:t xml:space="preserve">actors </w:t>
      </w:r>
      <w:r w:rsidRPr="007D4DDF">
        <w:rPr>
          <w:rFonts w:ascii="Times New Roman" w:hAnsi="Times New Roman"/>
        </w:rPr>
        <w:t>I</w:t>
      </w:r>
      <w:r w:rsidR="002820CB" w:rsidRPr="007D4DDF">
        <w:rPr>
          <w:rFonts w:ascii="Times New Roman" w:hAnsi="Times New Roman"/>
        </w:rPr>
        <w:t xml:space="preserve">dentified </w:t>
      </w:r>
      <w:r w:rsidRPr="007D4DDF">
        <w:rPr>
          <w:rFonts w:ascii="Times New Roman" w:hAnsi="Times New Roman"/>
        </w:rPr>
        <w:t>L</w:t>
      </w:r>
      <w:r w:rsidR="002820CB" w:rsidRPr="007D4DDF">
        <w:rPr>
          <w:rFonts w:ascii="Times New Roman" w:hAnsi="Times New Roman"/>
        </w:rPr>
        <w:t xml:space="preserve">eading to </w:t>
      </w:r>
      <w:r w:rsidRPr="007D4DDF">
        <w:rPr>
          <w:rFonts w:ascii="Times New Roman" w:hAnsi="Times New Roman"/>
        </w:rPr>
        <w:t>E</w:t>
      </w:r>
      <w:r w:rsidR="002820CB" w:rsidRPr="007D4DDF">
        <w:rPr>
          <w:rFonts w:ascii="Times New Roman" w:hAnsi="Times New Roman"/>
        </w:rPr>
        <w:t>victions</w:t>
      </w:r>
      <w:bookmarkEnd w:id="27"/>
    </w:p>
    <w:p w14:paraId="6EFF416C" w14:textId="77777777" w:rsidR="001A4592" w:rsidRPr="007D4DDF" w:rsidRDefault="002820CB" w:rsidP="00395E14">
      <w:pPr>
        <w:autoSpaceDE w:val="0"/>
        <w:autoSpaceDN w:val="0"/>
        <w:adjustRightInd w:val="0"/>
        <w:spacing w:before="0" w:after="120" w:line="240" w:lineRule="auto"/>
        <w:rPr>
          <w:szCs w:val="24"/>
        </w:rPr>
      </w:pPr>
      <w:r w:rsidRPr="007D4DDF">
        <w:rPr>
          <w:szCs w:val="24"/>
        </w:rPr>
        <w:t>In all the chapters</w:t>
      </w:r>
      <w:r w:rsidR="006E1849" w:rsidRPr="007D4DDF">
        <w:rPr>
          <w:szCs w:val="24"/>
        </w:rPr>
        <w:t xml:space="preserve"> of this book</w:t>
      </w:r>
      <w:r w:rsidR="00877182" w:rsidRPr="007D4DDF">
        <w:rPr>
          <w:szCs w:val="24"/>
        </w:rPr>
        <w:t>, compiled by the experts across the eleven countries,</w:t>
      </w:r>
      <w:r w:rsidRPr="007D4DDF">
        <w:rPr>
          <w:szCs w:val="24"/>
        </w:rPr>
        <w:t xml:space="preserve"> there is a clear pattern in the analysis of the risk factors for evictions. Unemployment, relationship breakdown, loss of a family member or illness are the key determinants of risk of eviction. This leads to mortgage or rent arrears, or other breaches of the housing arrangements.</w:t>
      </w:r>
      <w:r w:rsidR="00B2389E" w:rsidRPr="007D4DDF">
        <w:rPr>
          <w:rStyle w:val="FootnoteReference"/>
          <w:szCs w:val="24"/>
        </w:rPr>
        <w:footnoteReference w:id="167"/>
      </w:r>
      <w:r w:rsidRPr="007D4DDF">
        <w:rPr>
          <w:szCs w:val="24"/>
        </w:rPr>
        <w:t xml:space="preserve"> The sudden drop in income following unemployment often triggers mortgage or rent arrears, which may be attenuated by other debt commitments claiming a higher priority. Other factors mentioned include substance abuse, and</w:t>
      </w:r>
      <w:r w:rsidR="006E1849" w:rsidRPr="007D4DDF">
        <w:rPr>
          <w:szCs w:val="24"/>
        </w:rPr>
        <w:t>,</w:t>
      </w:r>
      <w:r w:rsidRPr="007D4DDF">
        <w:rPr>
          <w:szCs w:val="24"/>
        </w:rPr>
        <w:t xml:space="preserve"> for mortgage-related evictions, </w:t>
      </w:r>
      <w:r w:rsidR="002F08C8">
        <w:rPr>
          <w:szCs w:val="24"/>
        </w:rPr>
        <w:t xml:space="preserve">while </w:t>
      </w:r>
      <w:r w:rsidRPr="007D4DDF">
        <w:rPr>
          <w:spacing w:val="-2"/>
          <w:szCs w:val="24"/>
        </w:rPr>
        <w:t xml:space="preserve">Christoph </w:t>
      </w:r>
      <w:r w:rsidR="00275186" w:rsidRPr="007D4DDF">
        <w:rPr>
          <w:spacing w:val="-2"/>
          <w:szCs w:val="24"/>
        </w:rPr>
        <w:t>U</w:t>
      </w:r>
      <w:r w:rsidRPr="007D4DDF">
        <w:rPr>
          <w:spacing w:val="-2"/>
          <w:szCs w:val="24"/>
        </w:rPr>
        <w:t xml:space="preserve"> Schmid identifies i</w:t>
      </w:r>
      <w:r w:rsidRPr="007D4DDF">
        <w:rPr>
          <w:szCs w:val="24"/>
        </w:rPr>
        <w:t>ncorrect estimation of financial capacity of borrowers and underestimation of all costs as</w:t>
      </w:r>
      <w:r w:rsidR="00A30391" w:rsidRPr="007D4DDF">
        <w:rPr>
          <w:szCs w:val="24"/>
        </w:rPr>
        <w:t xml:space="preserve"> </w:t>
      </w:r>
      <w:r w:rsidRPr="007D4DDF">
        <w:rPr>
          <w:szCs w:val="24"/>
        </w:rPr>
        <w:t>the main risk factors. Some researchers</w:t>
      </w:r>
      <w:r w:rsidR="000A6B03" w:rsidRPr="007D4DDF">
        <w:rPr>
          <w:szCs w:val="24"/>
        </w:rPr>
        <w:t>, including</w:t>
      </w:r>
      <w:r w:rsidRPr="007D4DDF">
        <w:rPr>
          <w:szCs w:val="24"/>
        </w:rPr>
        <w:t xml:space="preserve"> </w:t>
      </w:r>
      <w:proofErr w:type="spellStart"/>
      <w:r w:rsidRPr="007D4DDF">
        <w:rPr>
          <w:szCs w:val="24"/>
        </w:rPr>
        <w:t>Nóra</w:t>
      </w:r>
      <w:proofErr w:type="spellEnd"/>
      <w:r w:rsidRPr="007D4DDF">
        <w:rPr>
          <w:szCs w:val="24"/>
        </w:rPr>
        <w:t xml:space="preserve"> Teller, </w:t>
      </w:r>
      <w:proofErr w:type="spellStart"/>
      <w:r w:rsidRPr="007D4DDF">
        <w:rPr>
          <w:rStyle w:val="spellingerror"/>
          <w:color w:val="000000"/>
          <w:szCs w:val="24"/>
          <w:shd w:val="clear" w:color="auto" w:fill="FFFFFF"/>
        </w:rPr>
        <w:t>Eszter</w:t>
      </w:r>
      <w:proofErr w:type="spellEnd"/>
      <w:r w:rsidRPr="007D4DDF">
        <w:rPr>
          <w:rStyle w:val="apple-converted-space"/>
          <w:color w:val="000000"/>
          <w:szCs w:val="24"/>
          <w:shd w:val="clear" w:color="auto" w:fill="FFFFFF"/>
        </w:rPr>
        <w:t> </w:t>
      </w:r>
      <w:r w:rsidRPr="007D4DDF">
        <w:rPr>
          <w:rStyle w:val="spellingerror"/>
          <w:color w:val="000000"/>
          <w:szCs w:val="24"/>
          <w:shd w:val="clear" w:color="auto" w:fill="FFFFFF"/>
        </w:rPr>
        <w:t>Somogyi</w:t>
      </w:r>
      <w:r w:rsidRPr="007D4DDF">
        <w:rPr>
          <w:rStyle w:val="apple-converted-space"/>
          <w:color w:val="000000"/>
          <w:szCs w:val="24"/>
          <w:shd w:val="clear" w:color="auto" w:fill="FFFFFF"/>
        </w:rPr>
        <w:t> </w:t>
      </w:r>
      <w:r w:rsidRPr="007D4DDF">
        <w:rPr>
          <w:rStyle w:val="normaltextrun"/>
          <w:color w:val="000000"/>
          <w:szCs w:val="24"/>
          <w:shd w:val="clear" w:color="auto" w:fill="FFFFFF"/>
        </w:rPr>
        <w:t xml:space="preserve">and </w:t>
      </w:r>
      <w:proofErr w:type="spellStart"/>
      <w:r w:rsidRPr="007D4DDF">
        <w:rPr>
          <w:rStyle w:val="spellingerror"/>
          <w:color w:val="000000"/>
          <w:szCs w:val="24"/>
          <w:shd w:val="clear" w:color="auto" w:fill="FFFFFF"/>
        </w:rPr>
        <w:t>Nóra</w:t>
      </w:r>
      <w:proofErr w:type="spellEnd"/>
      <w:r w:rsidRPr="007D4DDF">
        <w:rPr>
          <w:rStyle w:val="apple-converted-space"/>
          <w:color w:val="000000"/>
          <w:szCs w:val="24"/>
          <w:shd w:val="clear" w:color="auto" w:fill="FFFFFF"/>
        </w:rPr>
        <w:t> </w:t>
      </w:r>
      <w:proofErr w:type="spellStart"/>
      <w:r w:rsidRPr="007D4DDF">
        <w:rPr>
          <w:rStyle w:val="spellingerror"/>
          <w:color w:val="000000"/>
          <w:szCs w:val="24"/>
          <w:shd w:val="clear" w:color="auto" w:fill="FFFFFF"/>
        </w:rPr>
        <w:t>Tosic</w:t>
      </w:r>
      <w:proofErr w:type="spellEnd"/>
      <w:r w:rsidRPr="007D4DDF">
        <w:rPr>
          <w:rStyle w:val="spellingerror"/>
          <w:color w:val="000000"/>
          <w:szCs w:val="24"/>
          <w:shd w:val="clear" w:color="auto" w:fill="FFFFFF"/>
        </w:rPr>
        <w:t xml:space="preserve">, identified energy and utility costs as risk factors leading to eviction, as well as </w:t>
      </w:r>
      <w:r w:rsidRPr="007D4DDF">
        <w:rPr>
          <w:szCs w:val="24"/>
        </w:rPr>
        <w:t xml:space="preserve">situations where a guarantee has been offered on another person’s loan, which becomes non-performing. They also highlight the situation of foreign exchange loans with increased repayments due to devaluation or interest rate increases. For Elena </w:t>
      </w:r>
      <w:proofErr w:type="spellStart"/>
      <w:r w:rsidRPr="007D4DDF">
        <w:rPr>
          <w:szCs w:val="24"/>
        </w:rPr>
        <w:t>Bargelli</w:t>
      </w:r>
      <w:proofErr w:type="spellEnd"/>
      <w:r w:rsidRPr="007D4DDF">
        <w:rPr>
          <w:szCs w:val="24"/>
        </w:rPr>
        <w:t xml:space="preserve"> and </w:t>
      </w:r>
      <w:r w:rsidR="00817C96">
        <w:rPr>
          <w:szCs w:val="24"/>
        </w:rPr>
        <w:t>Giulia</w:t>
      </w:r>
      <w:r w:rsidRPr="007D4DDF">
        <w:rPr>
          <w:szCs w:val="24"/>
        </w:rPr>
        <w:t xml:space="preserve"> </w:t>
      </w:r>
      <w:proofErr w:type="spellStart"/>
      <w:r w:rsidRPr="007D4DDF">
        <w:rPr>
          <w:szCs w:val="24"/>
        </w:rPr>
        <w:t>Donadio</w:t>
      </w:r>
      <w:proofErr w:type="spellEnd"/>
      <w:r w:rsidRPr="007D4DDF">
        <w:rPr>
          <w:szCs w:val="24"/>
        </w:rPr>
        <w:t xml:space="preserve">, economic circumstances </w:t>
      </w:r>
      <w:r w:rsidR="000A6B03" w:rsidRPr="007D4DDF">
        <w:rPr>
          <w:szCs w:val="24"/>
        </w:rPr>
        <w:t xml:space="preserve">in Italy </w:t>
      </w:r>
      <w:r w:rsidRPr="007D4DDF">
        <w:rPr>
          <w:szCs w:val="24"/>
        </w:rPr>
        <w:t>were observed</w:t>
      </w:r>
      <w:r w:rsidR="00A30391" w:rsidRPr="007D4DDF">
        <w:rPr>
          <w:szCs w:val="24"/>
        </w:rPr>
        <w:t xml:space="preserve"> </w:t>
      </w:r>
      <w:r w:rsidRPr="007D4DDF">
        <w:rPr>
          <w:szCs w:val="24"/>
        </w:rPr>
        <w:t>as the main risk factor.</w:t>
      </w:r>
    </w:p>
    <w:p w14:paraId="517DB176" w14:textId="77777777" w:rsidR="001A4592" w:rsidRPr="007D4DDF" w:rsidRDefault="002820CB" w:rsidP="00777703">
      <w:pPr>
        <w:spacing w:before="0" w:after="120" w:line="240" w:lineRule="auto"/>
        <w:rPr>
          <w:szCs w:val="24"/>
        </w:rPr>
      </w:pPr>
      <w:r w:rsidRPr="007D4DDF">
        <w:rPr>
          <w:szCs w:val="24"/>
        </w:rPr>
        <w:t xml:space="preserve">In Ireland, there are clear factors associated with risk of eviction from private rented housing, such as low income, insecurity of tenure and relationship breakdown. For mortgage debtors, Central Bank </w:t>
      </w:r>
      <w:r w:rsidR="002F08C8">
        <w:rPr>
          <w:szCs w:val="24"/>
        </w:rPr>
        <w:t xml:space="preserve">of Ireland </w:t>
      </w:r>
      <w:r w:rsidRPr="007D4DDF">
        <w:rPr>
          <w:szCs w:val="24"/>
        </w:rPr>
        <w:t>studies have shown that low income (or unemployment</w:t>
      </w:r>
      <w:r w:rsidR="00D94EE2" w:rsidRPr="007D4DDF">
        <w:rPr>
          <w:szCs w:val="24"/>
        </w:rPr>
        <w:t>)</w:t>
      </w:r>
      <w:r w:rsidRPr="007D4DDF">
        <w:rPr>
          <w:szCs w:val="24"/>
        </w:rPr>
        <w:t xml:space="preserve"> and relationship breakdown are the main risk factors, in addition to </w:t>
      </w:r>
      <w:r w:rsidR="00A30391" w:rsidRPr="007D4DDF">
        <w:rPr>
          <w:szCs w:val="24"/>
        </w:rPr>
        <w:t>over</w:t>
      </w:r>
      <w:r w:rsidR="00112951" w:rsidRPr="007D4DDF">
        <w:rPr>
          <w:szCs w:val="24"/>
        </w:rPr>
        <w:t>-indebtedness</w:t>
      </w:r>
      <w:r w:rsidRPr="007D4DDF">
        <w:rPr>
          <w:szCs w:val="24"/>
        </w:rPr>
        <w:t xml:space="preserve">. Witold </w:t>
      </w:r>
      <w:proofErr w:type="spellStart"/>
      <w:r w:rsidRPr="007D4DDF">
        <w:rPr>
          <w:szCs w:val="24"/>
        </w:rPr>
        <w:t>Borysiak</w:t>
      </w:r>
      <w:proofErr w:type="spellEnd"/>
      <w:r w:rsidRPr="007D4DDF">
        <w:rPr>
          <w:szCs w:val="24"/>
        </w:rPr>
        <w:t xml:space="preserve"> suggests that in Poland</w:t>
      </w:r>
      <w:r w:rsidR="003D052D" w:rsidRPr="007D4DDF">
        <w:rPr>
          <w:szCs w:val="24"/>
        </w:rPr>
        <w:t>,</w:t>
      </w:r>
      <w:r w:rsidRPr="007D4DDF">
        <w:rPr>
          <w:szCs w:val="24"/>
        </w:rPr>
        <w:t xml:space="preserve"> unemployment, poverty, </w:t>
      </w:r>
      <w:r w:rsidRPr="007D4DDF">
        <w:rPr>
          <w:szCs w:val="24"/>
        </w:rPr>
        <w:lastRenderedPageBreak/>
        <w:t>debt, misuse of alcohol and release from prison are viewed as key risk factors. Another risk factor, which was also highlighted</w:t>
      </w:r>
      <w:r w:rsidR="007435E2" w:rsidRPr="007D4DDF">
        <w:rPr>
          <w:szCs w:val="24"/>
        </w:rPr>
        <w:t xml:space="preserve"> for</w:t>
      </w:r>
      <w:r w:rsidRPr="007D4DDF">
        <w:rPr>
          <w:szCs w:val="24"/>
        </w:rPr>
        <w:t xml:space="preserve"> Slovenia, is the </w:t>
      </w:r>
      <w:proofErr w:type="spellStart"/>
      <w:r w:rsidR="007D4DDF" w:rsidRPr="007D4DDF">
        <w:rPr>
          <w:szCs w:val="24"/>
        </w:rPr>
        <w:t>reprivati</w:t>
      </w:r>
      <w:r w:rsidR="007D4DDF">
        <w:rPr>
          <w:szCs w:val="24"/>
        </w:rPr>
        <w:t>z</w:t>
      </w:r>
      <w:r w:rsidR="007D4DDF" w:rsidRPr="007D4DDF">
        <w:rPr>
          <w:szCs w:val="24"/>
        </w:rPr>
        <w:t>ation</w:t>
      </w:r>
      <w:proofErr w:type="spellEnd"/>
      <w:r w:rsidR="007D4DDF" w:rsidRPr="007D4DDF">
        <w:rPr>
          <w:szCs w:val="24"/>
        </w:rPr>
        <w:t xml:space="preserve"> </w:t>
      </w:r>
      <w:r w:rsidRPr="007D4DDF">
        <w:rPr>
          <w:szCs w:val="24"/>
        </w:rPr>
        <w:t xml:space="preserve">of property appropriated by the </w:t>
      </w:r>
      <w:r w:rsidR="0000263C" w:rsidRPr="007D4DDF">
        <w:rPr>
          <w:szCs w:val="24"/>
        </w:rPr>
        <w:t>state</w:t>
      </w:r>
      <w:r w:rsidRPr="007D4DDF">
        <w:rPr>
          <w:szCs w:val="24"/>
        </w:rPr>
        <w:t xml:space="preserve"> during the socialist period, where the new owners are converting the property for re-use. Michel Vols suggests that in the Netherlands</w:t>
      </w:r>
      <w:r w:rsidR="0079288A" w:rsidRPr="007D4DDF">
        <w:rPr>
          <w:szCs w:val="24"/>
        </w:rPr>
        <w:t>,</w:t>
      </w:r>
      <w:r w:rsidRPr="007D4DDF">
        <w:rPr>
          <w:szCs w:val="24"/>
        </w:rPr>
        <w:t xml:space="preserve"> rent arrears are the main reason for evictions</w:t>
      </w:r>
      <w:r w:rsidR="000A6B03" w:rsidRPr="007D4DDF">
        <w:rPr>
          <w:szCs w:val="24"/>
        </w:rPr>
        <w:t>,</w:t>
      </w:r>
      <w:r w:rsidRPr="007D4DDF">
        <w:rPr>
          <w:szCs w:val="24"/>
        </w:rPr>
        <w:t xml:space="preserve"> amounting to over 80 per cent of cases, with nuisance, illegal sub-letting and drugs at approximately 5 per cent each. In social housing evictions, landlords execute eviction order</w:t>
      </w:r>
      <w:r w:rsidR="0079288A" w:rsidRPr="007D4DDF">
        <w:rPr>
          <w:szCs w:val="24"/>
        </w:rPr>
        <w:t>s</w:t>
      </w:r>
      <w:r w:rsidRPr="007D4DDF">
        <w:rPr>
          <w:szCs w:val="24"/>
        </w:rPr>
        <w:t xml:space="preserve"> for arrears only in 30 per cent of cases</w:t>
      </w:r>
      <w:r w:rsidR="000A6B03" w:rsidRPr="007D4DDF">
        <w:rPr>
          <w:szCs w:val="24"/>
        </w:rPr>
        <w:t xml:space="preserve">; </w:t>
      </w:r>
      <w:r w:rsidRPr="007D4DDF">
        <w:rPr>
          <w:szCs w:val="24"/>
        </w:rPr>
        <w:t xml:space="preserve">however, </w:t>
      </w:r>
      <w:r w:rsidR="000A6B03" w:rsidRPr="007D4DDF">
        <w:rPr>
          <w:szCs w:val="24"/>
        </w:rPr>
        <w:t xml:space="preserve">they do so </w:t>
      </w:r>
      <w:r w:rsidRPr="007D4DDF">
        <w:rPr>
          <w:szCs w:val="24"/>
        </w:rPr>
        <w:t>in over 90 per cent of cases involving drugs. Mortgage</w:t>
      </w:r>
      <w:r w:rsidR="00112951" w:rsidRPr="007D4DDF">
        <w:rPr>
          <w:szCs w:val="24"/>
        </w:rPr>
        <w:t>-</w:t>
      </w:r>
      <w:r w:rsidRPr="007D4DDF">
        <w:rPr>
          <w:szCs w:val="24"/>
        </w:rPr>
        <w:t>related evictions are often the result of relationship breakdown</w:t>
      </w:r>
      <w:r w:rsidR="00692D75" w:rsidRPr="007D4DDF">
        <w:rPr>
          <w:szCs w:val="24"/>
        </w:rPr>
        <w:t>,</w:t>
      </w:r>
      <w:r w:rsidR="00A30391" w:rsidRPr="007D4DDF">
        <w:rPr>
          <w:szCs w:val="24"/>
        </w:rPr>
        <w:t xml:space="preserve"> </w:t>
      </w:r>
      <w:r w:rsidRPr="007D4DDF">
        <w:rPr>
          <w:szCs w:val="24"/>
        </w:rPr>
        <w:t>accounting for 60 per cent</w:t>
      </w:r>
      <w:r w:rsidR="00A30391" w:rsidRPr="007D4DDF">
        <w:rPr>
          <w:szCs w:val="24"/>
        </w:rPr>
        <w:t xml:space="preserve"> </w:t>
      </w:r>
      <w:r w:rsidRPr="007D4DDF">
        <w:rPr>
          <w:szCs w:val="24"/>
        </w:rPr>
        <w:t xml:space="preserve">in 2015, </w:t>
      </w:r>
      <w:r w:rsidR="00692D75" w:rsidRPr="007D4DDF">
        <w:rPr>
          <w:szCs w:val="24"/>
        </w:rPr>
        <w:t xml:space="preserve">with </w:t>
      </w:r>
      <w:r w:rsidRPr="007D4DDF">
        <w:rPr>
          <w:szCs w:val="24"/>
        </w:rPr>
        <w:t xml:space="preserve">unemployment or loss of income accounting </w:t>
      </w:r>
      <w:r w:rsidR="00692D75" w:rsidRPr="007D4DDF">
        <w:rPr>
          <w:szCs w:val="24"/>
        </w:rPr>
        <w:t xml:space="preserve">for </w:t>
      </w:r>
      <w:r w:rsidRPr="007D4DDF">
        <w:rPr>
          <w:szCs w:val="24"/>
        </w:rPr>
        <w:t>29 per cent in the same year.</w:t>
      </w:r>
    </w:p>
    <w:p w14:paraId="5E0DE4FD" w14:textId="24F8312D" w:rsidR="001A4592" w:rsidRDefault="002820CB" w:rsidP="00777703">
      <w:pPr>
        <w:spacing w:before="0" w:after="120" w:line="240" w:lineRule="auto"/>
        <w:rPr>
          <w:szCs w:val="24"/>
        </w:rPr>
      </w:pPr>
      <w:r w:rsidRPr="007D4DDF">
        <w:rPr>
          <w:szCs w:val="24"/>
        </w:rPr>
        <w:t xml:space="preserve">Caroline Hunter and Nicholas </w:t>
      </w:r>
      <w:proofErr w:type="spellStart"/>
      <w:r w:rsidRPr="007D4DDF">
        <w:rPr>
          <w:szCs w:val="24"/>
        </w:rPr>
        <w:t>Pleace</w:t>
      </w:r>
      <w:proofErr w:type="spellEnd"/>
      <w:r w:rsidRPr="007D4DDF">
        <w:rPr>
          <w:szCs w:val="24"/>
        </w:rPr>
        <w:t xml:space="preserve"> point out that </w:t>
      </w:r>
      <w:r w:rsidR="00692D75" w:rsidRPr="007D4DDF">
        <w:rPr>
          <w:szCs w:val="24"/>
        </w:rPr>
        <w:t>in the UK</w:t>
      </w:r>
      <w:r w:rsidR="0079288A" w:rsidRPr="007D4DDF">
        <w:rPr>
          <w:szCs w:val="24"/>
        </w:rPr>
        <w:t>,</w:t>
      </w:r>
      <w:r w:rsidR="00692D75" w:rsidRPr="007D4DDF">
        <w:rPr>
          <w:szCs w:val="24"/>
        </w:rPr>
        <w:t xml:space="preserve"> </w:t>
      </w:r>
      <w:r w:rsidRPr="007D4DDF">
        <w:rPr>
          <w:szCs w:val="24"/>
        </w:rPr>
        <w:t xml:space="preserve">risk of eviction is clearly linked to socio-economic position. Job loss, relationship breakdown and loss of income are major </w:t>
      </w:r>
      <w:r w:rsidR="002F08C8">
        <w:rPr>
          <w:szCs w:val="24"/>
        </w:rPr>
        <w:t xml:space="preserve">risk </w:t>
      </w:r>
      <w:proofErr w:type="gramStart"/>
      <w:r w:rsidR="002F08C8">
        <w:rPr>
          <w:szCs w:val="24"/>
        </w:rPr>
        <w:t xml:space="preserve">factors </w:t>
      </w:r>
      <w:r w:rsidRPr="007D4DDF">
        <w:rPr>
          <w:szCs w:val="24"/>
        </w:rPr>
        <w:t>.</w:t>
      </w:r>
      <w:proofErr w:type="gramEnd"/>
      <w:r w:rsidRPr="007D4DDF">
        <w:rPr>
          <w:szCs w:val="24"/>
        </w:rPr>
        <w:t xml:space="preserve"> Although the UK still has a </w:t>
      </w:r>
      <w:r w:rsidR="00F7407F" w:rsidRPr="007D4DDF">
        <w:rPr>
          <w:szCs w:val="24"/>
        </w:rPr>
        <w:t xml:space="preserve">comparatively </w:t>
      </w:r>
      <w:r w:rsidRPr="007D4DDF">
        <w:rPr>
          <w:szCs w:val="24"/>
        </w:rPr>
        <w:t>extensive and relatively generous</w:t>
      </w:r>
      <w:r w:rsidR="00427367" w:rsidRPr="007D4DDF">
        <w:rPr>
          <w:szCs w:val="24"/>
        </w:rPr>
        <w:t xml:space="preserve"> welfare state system, </w:t>
      </w:r>
      <w:r w:rsidRPr="007D4DDF">
        <w:rPr>
          <w:szCs w:val="24"/>
        </w:rPr>
        <w:t>housing costs are very high relative to incomes</w:t>
      </w:r>
      <w:r w:rsidR="00427367" w:rsidRPr="007D4DDF">
        <w:rPr>
          <w:szCs w:val="24"/>
        </w:rPr>
        <w:t>. I</w:t>
      </w:r>
      <w:r w:rsidRPr="007D4DDF">
        <w:rPr>
          <w:szCs w:val="24"/>
        </w:rPr>
        <w:t>n areas of housing stress, housing costs can be much higher than the level of welfare supports. In the private rented sector, high rents, limited regulation and restricted legal protections for tenants create insecure tenancies and high risk of eviction. In the social rented sector, there is evidence of over</w:t>
      </w:r>
      <w:r w:rsidR="00692D75" w:rsidRPr="007D4DDF">
        <w:rPr>
          <w:szCs w:val="24"/>
        </w:rPr>
        <w:t>-</w:t>
      </w:r>
      <w:r w:rsidRPr="007D4DDF">
        <w:rPr>
          <w:szCs w:val="24"/>
        </w:rPr>
        <w:t xml:space="preserve">representation of women, lone parents and </w:t>
      </w:r>
      <w:r w:rsidR="00B2389E" w:rsidRPr="007D4DDF">
        <w:rPr>
          <w:szCs w:val="24"/>
        </w:rPr>
        <w:t xml:space="preserve">unemployed people </w:t>
      </w:r>
      <w:r w:rsidRPr="007D4DDF">
        <w:rPr>
          <w:szCs w:val="24"/>
        </w:rPr>
        <w:t>among eviction cases. Problems in the administration of housing benefits can be a significant factor in arrears cases.</w:t>
      </w:r>
      <w:r w:rsidR="00427367" w:rsidRPr="007D4DDF">
        <w:rPr>
          <w:szCs w:val="24"/>
        </w:rPr>
        <w:t xml:space="preserve"> Research on mortgage possessions also show a strong association between loss of income and arrears, leading to actions for possession.</w:t>
      </w:r>
    </w:p>
    <w:p w14:paraId="60833EBF" w14:textId="77777777" w:rsidR="006E160F" w:rsidRPr="007D4DDF" w:rsidRDefault="006E160F" w:rsidP="00777703">
      <w:pPr>
        <w:spacing w:before="0" w:after="120" w:line="240" w:lineRule="auto"/>
        <w:rPr>
          <w:szCs w:val="24"/>
        </w:rPr>
      </w:pPr>
    </w:p>
    <w:p w14:paraId="5616B80B" w14:textId="6876CE0E" w:rsidR="001A4592" w:rsidRPr="007D4DDF" w:rsidRDefault="0089727D" w:rsidP="008B1CB3">
      <w:pPr>
        <w:pStyle w:val="Heading2"/>
        <w:spacing w:before="0" w:after="120" w:line="240" w:lineRule="auto"/>
        <w:rPr>
          <w:rFonts w:ascii="Times New Roman" w:hAnsi="Times New Roman"/>
        </w:rPr>
      </w:pPr>
      <w:bookmarkStart w:id="28" w:name="_Toc508191215"/>
      <w:r w:rsidRPr="007D4DDF">
        <w:rPr>
          <w:rFonts w:ascii="Times New Roman" w:hAnsi="Times New Roman"/>
        </w:rPr>
        <w:t>5.5</w:t>
      </w:r>
      <w:r w:rsidR="006E160F">
        <w:rPr>
          <w:rFonts w:ascii="Times New Roman" w:hAnsi="Times New Roman"/>
        </w:rPr>
        <w:t>.</w:t>
      </w:r>
      <w:r w:rsidR="00685383">
        <w:rPr>
          <w:rFonts w:ascii="Times New Roman" w:hAnsi="Times New Roman"/>
        </w:rPr>
        <w:t xml:space="preserve"> </w:t>
      </w:r>
      <w:r w:rsidR="002820CB" w:rsidRPr="007D4DDF">
        <w:rPr>
          <w:rFonts w:ascii="Times New Roman" w:hAnsi="Times New Roman"/>
        </w:rPr>
        <w:t xml:space="preserve">Links between </w:t>
      </w:r>
      <w:r w:rsidRPr="007D4DDF">
        <w:rPr>
          <w:rFonts w:ascii="Times New Roman" w:hAnsi="Times New Roman"/>
        </w:rPr>
        <w:t>E</w:t>
      </w:r>
      <w:r w:rsidR="002820CB" w:rsidRPr="007D4DDF">
        <w:rPr>
          <w:rFonts w:ascii="Times New Roman" w:hAnsi="Times New Roman"/>
        </w:rPr>
        <w:t xml:space="preserve">victions and </w:t>
      </w:r>
      <w:r w:rsidRPr="007D4DDF">
        <w:rPr>
          <w:rFonts w:ascii="Times New Roman" w:hAnsi="Times New Roman"/>
        </w:rPr>
        <w:t>H</w:t>
      </w:r>
      <w:r w:rsidR="002820CB" w:rsidRPr="007D4DDF">
        <w:rPr>
          <w:rFonts w:ascii="Times New Roman" w:hAnsi="Times New Roman"/>
        </w:rPr>
        <w:t>omelessness</w:t>
      </w:r>
      <w:bookmarkEnd w:id="28"/>
    </w:p>
    <w:p w14:paraId="409F5AAF" w14:textId="77777777" w:rsidR="001A4592" w:rsidRPr="007D4DDF" w:rsidRDefault="002820CB" w:rsidP="00395E14">
      <w:pPr>
        <w:spacing w:before="0" w:after="120" w:line="240" w:lineRule="auto"/>
        <w:rPr>
          <w:szCs w:val="24"/>
        </w:rPr>
      </w:pPr>
      <w:r w:rsidRPr="007D4DDF">
        <w:rPr>
          <w:szCs w:val="24"/>
        </w:rPr>
        <w:t>There are complex links between evictions and homelessness. As the EU Pilot Research Project shows, persons who are evicted seek the assistance of family and friends initially and only when these supports network are inadequate or break down does the household rely on homelessness services. Of course, this pathway may not be linear or consistent, and particularly in the case of those with complex support needs, there may be a recurrent pattern of evictions and homelessness. Research shows that it is only the most vulnerable who become street ho</w:t>
      </w:r>
      <w:r w:rsidR="00427367" w:rsidRPr="007D4DDF">
        <w:rPr>
          <w:szCs w:val="24"/>
        </w:rPr>
        <w:t>meless directly after eviction.</w:t>
      </w:r>
      <w:r w:rsidR="00427367" w:rsidRPr="007D4DDF">
        <w:rPr>
          <w:rStyle w:val="FootnoteReference"/>
          <w:szCs w:val="24"/>
        </w:rPr>
        <w:footnoteReference w:id="168"/>
      </w:r>
    </w:p>
    <w:p w14:paraId="3C66B980" w14:textId="77777777" w:rsidR="001A4592" w:rsidRPr="007D4DDF" w:rsidRDefault="002820CB" w:rsidP="00777703">
      <w:pPr>
        <w:spacing w:before="0" w:after="120" w:line="240" w:lineRule="auto"/>
        <w:rPr>
          <w:szCs w:val="24"/>
        </w:rPr>
      </w:pPr>
      <w:r w:rsidRPr="007D4DDF">
        <w:rPr>
          <w:szCs w:val="24"/>
        </w:rPr>
        <w:t>The availability of eviction</w:t>
      </w:r>
      <w:r w:rsidR="002D51F9" w:rsidRPr="007D4DDF">
        <w:rPr>
          <w:szCs w:val="24"/>
        </w:rPr>
        <w:t>-</w:t>
      </w:r>
      <w:r w:rsidRPr="007D4DDF">
        <w:rPr>
          <w:szCs w:val="24"/>
        </w:rPr>
        <w:t>prevention services, even after a court order has been granted</w:t>
      </w:r>
      <w:r w:rsidR="00F753B3" w:rsidRPr="007D4DDF">
        <w:rPr>
          <w:szCs w:val="24"/>
        </w:rPr>
        <w:t>,</w:t>
      </w:r>
      <w:r w:rsidRPr="007D4DDF">
        <w:rPr>
          <w:szCs w:val="24"/>
        </w:rPr>
        <w:t xml:space="preserve"> can have a significant impact in breaking the link between eviction and homelessness. Indeed, supporting those at risk of eviction, even at the earlier stages of the process before court, to remain in their homes can be a critical element in mitigation of homelessness. According to the report of National Coalition of Services Working with the Homeless in Germany (</w:t>
      </w:r>
      <w:proofErr w:type="spellStart"/>
      <w:r w:rsidRPr="007D4DDF">
        <w:rPr>
          <w:i/>
          <w:szCs w:val="24"/>
        </w:rPr>
        <w:t>Bundesarbeitsgemeinschaft</w:t>
      </w:r>
      <w:proofErr w:type="spellEnd"/>
      <w:r w:rsidRPr="007D4DDF">
        <w:rPr>
          <w:i/>
          <w:szCs w:val="24"/>
        </w:rPr>
        <w:t xml:space="preserve"> </w:t>
      </w:r>
      <w:proofErr w:type="spellStart"/>
      <w:r w:rsidRPr="007D4DDF">
        <w:rPr>
          <w:i/>
          <w:szCs w:val="24"/>
        </w:rPr>
        <w:t>Wohnungslosenhilfe</w:t>
      </w:r>
      <w:proofErr w:type="spellEnd"/>
      <w:r w:rsidRPr="007D4DDF">
        <w:rPr>
          <w:i/>
          <w:szCs w:val="24"/>
        </w:rPr>
        <w:t xml:space="preserve"> </w:t>
      </w:r>
      <w:proofErr w:type="spellStart"/>
      <w:r w:rsidRPr="007D4DDF">
        <w:rPr>
          <w:i/>
          <w:szCs w:val="24"/>
        </w:rPr>
        <w:t>e.V</w:t>
      </w:r>
      <w:proofErr w:type="spellEnd"/>
      <w:r w:rsidRPr="007D4DDF">
        <w:rPr>
          <w:i/>
          <w:szCs w:val="24"/>
        </w:rPr>
        <w:t>.</w:t>
      </w:r>
      <w:r w:rsidRPr="007D4DDF">
        <w:rPr>
          <w:szCs w:val="24"/>
        </w:rPr>
        <w:t xml:space="preserve"> </w:t>
      </w:r>
      <w:r w:rsidR="007C7295" w:rsidRPr="007D4DDF">
        <w:rPr>
          <w:szCs w:val="24"/>
        </w:rPr>
        <w:t>–</w:t>
      </w:r>
      <w:r w:rsidRPr="007D4DDF">
        <w:rPr>
          <w:szCs w:val="24"/>
        </w:rPr>
        <w:t xml:space="preserve"> BAG W), in 2014</w:t>
      </w:r>
      <w:r w:rsidR="003D052D" w:rsidRPr="007D4DDF">
        <w:rPr>
          <w:szCs w:val="24"/>
        </w:rPr>
        <w:t>,</w:t>
      </w:r>
      <w:r w:rsidRPr="007D4DDF">
        <w:rPr>
          <w:szCs w:val="24"/>
        </w:rPr>
        <w:t xml:space="preserve"> some </w:t>
      </w:r>
      <w:r w:rsidR="00F753B3" w:rsidRPr="007D4DDF">
        <w:rPr>
          <w:szCs w:val="24"/>
        </w:rPr>
        <w:t>172</w:t>
      </w:r>
      <w:r w:rsidR="003D052D" w:rsidRPr="007D4DDF">
        <w:rPr>
          <w:szCs w:val="24"/>
        </w:rPr>
        <w:t xml:space="preserve"> </w:t>
      </w:r>
      <w:r w:rsidRPr="007D4DDF">
        <w:rPr>
          <w:szCs w:val="24"/>
        </w:rPr>
        <w:t>000 households were threatened with eviction and approximately 50 per cent availed of preventative measures. Of the 86</w:t>
      </w:r>
      <w:r w:rsidR="003D052D" w:rsidRPr="007D4DDF">
        <w:rPr>
          <w:szCs w:val="24"/>
        </w:rPr>
        <w:t xml:space="preserve"> </w:t>
      </w:r>
      <w:r w:rsidRPr="007D4DDF">
        <w:rPr>
          <w:szCs w:val="24"/>
        </w:rPr>
        <w:t xml:space="preserve">000 persons who lost their homes, 40 per cent </w:t>
      </w:r>
      <w:r w:rsidR="00F753B3" w:rsidRPr="007D4DDF">
        <w:rPr>
          <w:szCs w:val="24"/>
        </w:rPr>
        <w:t>lost them</w:t>
      </w:r>
      <w:r w:rsidRPr="007D4DDF">
        <w:rPr>
          <w:szCs w:val="24"/>
        </w:rPr>
        <w:t xml:space="preserve"> as a result of </w:t>
      </w:r>
      <w:r w:rsidR="00F753B3" w:rsidRPr="007D4DDF">
        <w:rPr>
          <w:szCs w:val="24"/>
        </w:rPr>
        <w:t xml:space="preserve">the </w:t>
      </w:r>
      <w:r w:rsidRPr="007D4DDF">
        <w:rPr>
          <w:szCs w:val="24"/>
        </w:rPr>
        <w:t>execution of eviction orders, whereas 60 per cent</w:t>
      </w:r>
      <w:r w:rsidR="00A30391" w:rsidRPr="007D4DDF">
        <w:rPr>
          <w:szCs w:val="24"/>
        </w:rPr>
        <w:t xml:space="preserve"> </w:t>
      </w:r>
      <w:r w:rsidRPr="007D4DDF">
        <w:rPr>
          <w:szCs w:val="24"/>
        </w:rPr>
        <w:t>left in the course of, or before, the conclusion of the eviction proceedings. Some 30</w:t>
      </w:r>
      <w:r w:rsidR="00F753B3" w:rsidRPr="007D4DDF">
        <w:rPr>
          <w:szCs w:val="24"/>
        </w:rPr>
        <w:t xml:space="preserve"> per cent </w:t>
      </w:r>
      <w:r w:rsidRPr="007D4DDF">
        <w:rPr>
          <w:szCs w:val="24"/>
        </w:rPr>
        <w:t xml:space="preserve">had left after receiving a notice to quit. However, Marc </w:t>
      </w:r>
      <w:proofErr w:type="spellStart"/>
      <w:r w:rsidRPr="007D4DDF">
        <w:rPr>
          <w:szCs w:val="24"/>
        </w:rPr>
        <w:t>Uhry</w:t>
      </w:r>
      <w:proofErr w:type="spellEnd"/>
      <w:r w:rsidRPr="007D4DDF">
        <w:rPr>
          <w:szCs w:val="24"/>
        </w:rPr>
        <w:t xml:space="preserve"> suggests that in France</w:t>
      </w:r>
      <w:r w:rsidR="003D052D" w:rsidRPr="007D4DDF">
        <w:rPr>
          <w:szCs w:val="24"/>
        </w:rPr>
        <w:t>,</w:t>
      </w:r>
      <w:r w:rsidRPr="007D4DDF">
        <w:rPr>
          <w:szCs w:val="24"/>
        </w:rPr>
        <w:t xml:space="preserve"> there is scant evidence that evictions are leadi</w:t>
      </w:r>
      <w:r w:rsidR="00427367" w:rsidRPr="007D4DDF">
        <w:rPr>
          <w:szCs w:val="24"/>
        </w:rPr>
        <w:t xml:space="preserve">ng to </w:t>
      </w:r>
      <w:r w:rsidR="00427367" w:rsidRPr="007D4DDF">
        <w:rPr>
          <w:szCs w:val="24"/>
        </w:rPr>
        <w:lastRenderedPageBreak/>
        <w:t xml:space="preserve">homelessness, although </w:t>
      </w:r>
      <w:r w:rsidRPr="007D4DDF">
        <w:rPr>
          <w:szCs w:val="24"/>
        </w:rPr>
        <w:t xml:space="preserve">homeless people with multiple needs regularly experience eviction. </w:t>
      </w:r>
      <w:r w:rsidR="00427367" w:rsidRPr="007D4DDF">
        <w:rPr>
          <w:szCs w:val="24"/>
        </w:rPr>
        <w:t>Generally, p</w:t>
      </w:r>
      <w:r w:rsidRPr="007D4DDF">
        <w:rPr>
          <w:szCs w:val="24"/>
        </w:rPr>
        <w:t>eople with multiple needs, especially those suffering from psychiatric disorders, seem particularly vulnerable to the pathway from arrears to eviction</w:t>
      </w:r>
      <w:r w:rsidR="00427367" w:rsidRPr="007D4DDF">
        <w:rPr>
          <w:szCs w:val="24"/>
        </w:rPr>
        <w:t>,</w:t>
      </w:r>
      <w:r w:rsidRPr="007D4DDF">
        <w:rPr>
          <w:szCs w:val="24"/>
        </w:rPr>
        <w:t xml:space="preserve"> and consequent homelessness.</w:t>
      </w:r>
    </w:p>
    <w:p w14:paraId="4BE739BE" w14:textId="77777777" w:rsidR="001A4592" w:rsidRPr="007D4DDF" w:rsidRDefault="002820CB" w:rsidP="00777703">
      <w:pPr>
        <w:autoSpaceDE w:val="0"/>
        <w:autoSpaceDN w:val="0"/>
        <w:adjustRightInd w:val="0"/>
        <w:spacing w:before="0" w:after="120" w:line="240" w:lineRule="auto"/>
        <w:rPr>
          <w:szCs w:val="24"/>
        </w:rPr>
      </w:pPr>
      <w:proofErr w:type="spellStart"/>
      <w:r w:rsidRPr="007D4DDF">
        <w:rPr>
          <w:szCs w:val="24"/>
        </w:rPr>
        <w:t>Nóra</w:t>
      </w:r>
      <w:proofErr w:type="spellEnd"/>
      <w:r w:rsidRPr="007D4DDF">
        <w:rPr>
          <w:szCs w:val="24"/>
        </w:rPr>
        <w:t xml:space="preserve"> Teller, </w:t>
      </w:r>
      <w:proofErr w:type="spellStart"/>
      <w:r w:rsidRPr="007D4DDF">
        <w:rPr>
          <w:rStyle w:val="spellingerror"/>
          <w:color w:val="000000"/>
          <w:szCs w:val="24"/>
          <w:shd w:val="clear" w:color="auto" w:fill="FFFFFF"/>
        </w:rPr>
        <w:t>Eszter</w:t>
      </w:r>
      <w:proofErr w:type="spellEnd"/>
      <w:r w:rsidRPr="007D4DDF">
        <w:rPr>
          <w:rStyle w:val="apple-converted-space"/>
          <w:color w:val="000000"/>
          <w:szCs w:val="24"/>
          <w:shd w:val="clear" w:color="auto" w:fill="FFFFFF"/>
        </w:rPr>
        <w:t> </w:t>
      </w:r>
      <w:r w:rsidRPr="007D4DDF">
        <w:rPr>
          <w:rStyle w:val="spellingerror"/>
          <w:color w:val="000000"/>
          <w:szCs w:val="24"/>
          <w:shd w:val="clear" w:color="auto" w:fill="FFFFFF"/>
        </w:rPr>
        <w:t>Somogyi</w:t>
      </w:r>
      <w:r w:rsidRPr="007D4DDF">
        <w:rPr>
          <w:rStyle w:val="apple-converted-space"/>
          <w:color w:val="000000"/>
          <w:szCs w:val="24"/>
          <w:shd w:val="clear" w:color="auto" w:fill="FFFFFF"/>
        </w:rPr>
        <w:t> </w:t>
      </w:r>
      <w:r w:rsidRPr="007D4DDF">
        <w:rPr>
          <w:rStyle w:val="normaltextrun"/>
          <w:color w:val="000000"/>
          <w:szCs w:val="24"/>
          <w:shd w:val="clear" w:color="auto" w:fill="FFFFFF"/>
        </w:rPr>
        <w:t>and</w:t>
      </w:r>
      <w:r w:rsidRPr="007D4DDF">
        <w:rPr>
          <w:rStyle w:val="spellingerror"/>
          <w:color w:val="000000"/>
          <w:szCs w:val="24"/>
          <w:shd w:val="clear" w:color="auto" w:fill="FFFFFF"/>
        </w:rPr>
        <w:t xml:space="preserve"> </w:t>
      </w:r>
      <w:proofErr w:type="spellStart"/>
      <w:r w:rsidRPr="007D4DDF">
        <w:rPr>
          <w:rStyle w:val="spellingerror"/>
          <w:color w:val="000000"/>
          <w:szCs w:val="24"/>
          <w:shd w:val="clear" w:color="auto" w:fill="FFFFFF"/>
        </w:rPr>
        <w:t>Nóra</w:t>
      </w:r>
      <w:proofErr w:type="spellEnd"/>
      <w:r w:rsidRPr="007D4DDF">
        <w:rPr>
          <w:rStyle w:val="apple-converted-space"/>
          <w:color w:val="000000"/>
          <w:szCs w:val="24"/>
          <w:shd w:val="clear" w:color="auto" w:fill="FFFFFF"/>
        </w:rPr>
        <w:t> </w:t>
      </w:r>
      <w:proofErr w:type="spellStart"/>
      <w:r w:rsidRPr="007D4DDF">
        <w:rPr>
          <w:rStyle w:val="spellingerror"/>
          <w:color w:val="000000"/>
          <w:szCs w:val="24"/>
          <w:shd w:val="clear" w:color="auto" w:fill="FFFFFF"/>
        </w:rPr>
        <w:t>Tosic</w:t>
      </w:r>
      <w:proofErr w:type="spellEnd"/>
      <w:r w:rsidRPr="007D4DDF">
        <w:rPr>
          <w:szCs w:val="24"/>
        </w:rPr>
        <w:t xml:space="preserve"> describe a study </w:t>
      </w:r>
      <w:r w:rsidR="001F4AA9" w:rsidRPr="007D4DDF">
        <w:rPr>
          <w:szCs w:val="24"/>
        </w:rPr>
        <w:t xml:space="preserve">in Hungary </w:t>
      </w:r>
      <w:r w:rsidRPr="007D4DDF">
        <w:rPr>
          <w:szCs w:val="24"/>
        </w:rPr>
        <w:t xml:space="preserve">in 2011 which showed that </w:t>
      </w:r>
      <w:r w:rsidR="00877182" w:rsidRPr="007D4DDF">
        <w:rPr>
          <w:szCs w:val="24"/>
        </w:rPr>
        <w:t>person</w:t>
      </w:r>
      <w:r w:rsidR="001F4AA9" w:rsidRPr="007D4DDF">
        <w:rPr>
          <w:szCs w:val="24"/>
        </w:rPr>
        <w:t>s</w:t>
      </w:r>
      <w:r w:rsidRPr="007D4DDF">
        <w:rPr>
          <w:szCs w:val="24"/>
        </w:rPr>
        <w:t xml:space="preserve"> </w:t>
      </w:r>
      <w:r w:rsidR="00877182" w:rsidRPr="007D4DDF">
        <w:rPr>
          <w:szCs w:val="24"/>
        </w:rPr>
        <w:t>losing their</w:t>
      </w:r>
      <w:r w:rsidRPr="007D4DDF">
        <w:rPr>
          <w:szCs w:val="24"/>
        </w:rPr>
        <w:t xml:space="preserve"> home was the direct cause of their homelessness in 44 per cent of</w:t>
      </w:r>
      <w:r w:rsidR="00A30391" w:rsidRPr="007D4DDF">
        <w:rPr>
          <w:szCs w:val="24"/>
        </w:rPr>
        <w:t xml:space="preserve"> </w:t>
      </w:r>
      <w:r w:rsidRPr="007D4DDF">
        <w:rPr>
          <w:szCs w:val="24"/>
        </w:rPr>
        <w:t xml:space="preserve">cases. Elena </w:t>
      </w:r>
      <w:proofErr w:type="spellStart"/>
      <w:r w:rsidRPr="007D4DDF">
        <w:rPr>
          <w:szCs w:val="24"/>
        </w:rPr>
        <w:t>Bargelli</w:t>
      </w:r>
      <w:proofErr w:type="spellEnd"/>
      <w:r w:rsidRPr="007D4DDF">
        <w:rPr>
          <w:szCs w:val="24"/>
        </w:rPr>
        <w:t xml:space="preserve"> and </w:t>
      </w:r>
      <w:r w:rsidR="00817C96">
        <w:rPr>
          <w:szCs w:val="24"/>
        </w:rPr>
        <w:t>Giulia</w:t>
      </w:r>
      <w:r w:rsidRPr="007D4DDF">
        <w:rPr>
          <w:szCs w:val="24"/>
        </w:rPr>
        <w:t xml:space="preserve"> </w:t>
      </w:r>
      <w:proofErr w:type="spellStart"/>
      <w:r w:rsidRPr="007D4DDF">
        <w:rPr>
          <w:szCs w:val="24"/>
        </w:rPr>
        <w:t>Donadio</w:t>
      </w:r>
      <w:proofErr w:type="spellEnd"/>
      <w:r w:rsidRPr="007D4DDF">
        <w:rPr>
          <w:szCs w:val="24"/>
        </w:rPr>
        <w:t xml:space="preserve"> suggest that in Italy, the link between evictions and homelessness is considered a </w:t>
      </w:r>
      <w:r w:rsidR="00CE54A2" w:rsidRPr="007D4DDF">
        <w:rPr>
          <w:szCs w:val="24"/>
        </w:rPr>
        <w:t>‘</w:t>
      </w:r>
      <w:r w:rsidRPr="007D4DDF">
        <w:rPr>
          <w:szCs w:val="24"/>
        </w:rPr>
        <w:t>social bomb</w:t>
      </w:r>
      <w:r w:rsidR="00CE54A2" w:rsidRPr="007D4DDF">
        <w:rPr>
          <w:szCs w:val="24"/>
        </w:rPr>
        <w:t>’</w:t>
      </w:r>
      <w:r w:rsidRPr="007D4DDF">
        <w:rPr>
          <w:szCs w:val="24"/>
        </w:rPr>
        <w:t>, and the highest risk of homelessness is among those with poor social networks, such as immigrants or old people. In Ireland, there are clear links between evictions and homelessness</w:t>
      </w:r>
      <w:r w:rsidR="00427367" w:rsidRPr="007D4DDF">
        <w:rPr>
          <w:szCs w:val="24"/>
        </w:rPr>
        <w:t xml:space="preserve">. A </w:t>
      </w:r>
      <w:r w:rsidRPr="007D4DDF">
        <w:rPr>
          <w:szCs w:val="24"/>
        </w:rPr>
        <w:t xml:space="preserve">doubling of family homelessness between 2014 and 2017 is directly linked with evictions from private rented housing. Sergio </w:t>
      </w:r>
      <w:proofErr w:type="spellStart"/>
      <w:r w:rsidRPr="007D4DDF">
        <w:rPr>
          <w:szCs w:val="24"/>
        </w:rPr>
        <w:t>Nasarre</w:t>
      </w:r>
      <w:proofErr w:type="spellEnd"/>
      <w:r w:rsidR="00112951" w:rsidRPr="007D4DDF">
        <w:rPr>
          <w:szCs w:val="24"/>
        </w:rPr>
        <w:t>-</w:t>
      </w:r>
      <w:r w:rsidRPr="007D4DDF">
        <w:rPr>
          <w:szCs w:val="24"/>
        </w:rPr>
        <w:t xml:space="preserve">Aznar and Rosa Maria Garcia </w:t>
      </w:r>
      <w:proofErr w:type="spellStart"/>
      <w:r w:rsidRPr="007D4DDF">
        <w:rPr>
          <w:szCs w:val="24"/>
        </w:rPr>
        <w:t>Teruel</w:t>
      </w:r>
      <w:proofErr w:type="spellEnd"/>
      <w:r w:rsidRPr="007D4DDF">
        <w:rPr>
          <w:szCs w:val="24"/>
        </w:rPr>
        <w:t xml:space="preserve"> point out that in Spain, of the 23</w:t>
      </w:r>
      <w:r w:rsidR="003D052D" w:rsidRPr="007D4DDF">
        <w:rPr>
          <w:szCs w:val="24"/>
        </w:rPr>
        <w:t xml:space="preserve"> </w:t>
      </w:r>
      <w:r w:rsidRPr="007D4DDF">
        <w:rPr>
          <w:szCs w:val="24"/>
        </w:rPr>
        <w:t>000 homeless people studied in 2012, over 50 per cent had lost their jobs and remained unemployed, while 12 per cent were homeless as a result of eviction. A quarter of homeless people stated that they were homeless because they could not pay their housing costs. However, in the vast majority of cases, those evicted return to their parents</w:t>
      </w:r>
      <w:r w:rsidR="001F4AA9" w:rsidRPr="007D4DDF">
        <w:rPr>
          <w:szCs w:val="24"/>
        </w:rPr>
        <w:t>’</w:t>
      </w:r>
      <w:r w:rsidRPr="007D4DDF">
        <w:rPr>
          <w:szCs w:val="24"/>
        </w:rPr>
        <w:t xml:space="preserve"> home, as there is a legal obligation in Spain law to provide for relatives in need</w:t>
      </w:r>
      <w:r w:rsidR="00427367" w:rsidRPr="007D4DDF">
        <w:rPr>
          <w:szCs w:val="24"/>
        </w:rPr>
        <w:t>,</w:t>
      </w:r>
      <w:r w:rsidRPr="007D4DDF">
        <w:rPr>
          <w:szCs w:val="24"/>
        </w:rPr>
        <w:t xml:space="preserve"> although this option is not open to immigrants. There is insufficient social housing </w:t>
      </w:r>
      <w:r w:rsidR="002F08C8">
        <w:rPr>
          <w:szCs w:val="24"/>
        </w:rPr>
        <w:t xml:space="preserve">to rehouse </w:t>
      </w:r>
      <w:r w:rsidRPr="007D4DDF">
        <w:rPr>
          <w:szCs w:val="24"/>
        </w:rPr>
        <w:t>those evicted in Spain.</w:t>
      </w:r>
    </w:p>
    <w:p w14:paraId="009F0A7D" w14:textId="77777777" w:rsidR="001A4592" w:rsidRPr="007D4DDF" w:rsidRDefault="002820CB" w:rsidP="00777703">
      <w:pPr>
        <w:spacing w:before="0" w:after="120" w:line="240" w:lineRule="auto"/>
        <w:rPr>
          <w:szCs w:val="24"/>
        </w:rPr>
      </w:pPr>
      <w:r w:rsidRPr="007D4DDF">
        <w:rPr>
          <w:szCs w:val="24"/>
        </w:rPr>
        <w:t xml:space="preserve">Caroline Hunter and Nicholas </w:t>
      </w:r>
      <w:proofErr w:type="spellStart"/>
      <w:r w:rsidRPr="007D4DDF">
        <w:rPr>
          <w:szCs w:val="24"/>
        </w:rPr>
        <w:t>Pleace</w:t>
      </w:r>
      <w:proofErr w:type="spellEnd"/>
      <w:r w:rsidRPr="007D4DDF">
        <w:rPr>
          <w:szCs w:val="24"/>
        </w:rPr>
        <w:t xml:space="preserve"> </w:t>
      </w:r>
      <w:r w:rsidR="00427367" w:rsidRPr="007D4DDF">
        <w:rPr>
          <w:szCs w:val="24"/>
        </w:rPr>
        <w:t xml:space="preserve">indicate </w:t>
      </w:r>
      <w:r w:rsidR="001F4AA9" w:rsidRPr="007D4DDF">
        <w:rPr>
          <w:szCs w:val="24"/>
        </w:rPr>
        <w:t xml:space="preserve">that in the UK, </w:t>
      </w:r>
      <w:r w:rsidRPr="007D4DDF">
        <w:rPr>
          <w:szCs w:val="24"/>
        </w:rPr>
        <w:t xml:space="preserve">the end of </w:t>
      </w:r>
      <w:r w:rsidR="007435E2" w:rsidRPr="007D4DDF">
        <w:rPr>
          <w:szCs w:val="24"/>
        </w:rPr>
        <w:t xml:space="preserve">a </w:t>
      </w:r>
      <w:r w:rsidRPr="007D4DDF">
        <w:rPr>
          <w:szCs w:val="24"/>
        </w:rPr>
        <w:t>time-limited assured shorthold tenancy can be a trigger for homelessness, although the safety net of housing benefits to cover rent, legislation to deal with threatened homelessness and the provision of temporary housing, all mitigate against homelessness in eviction cases. Indeed, in England, some 3.5 million households were provided with temporary or permanent housing as a result of becoming homeless in the period 197</w:t>
      </w:r>
      <w:r w:rsidR="00A30391" w:rsidRPr="007D4DDF">
        <w:rPr>
          <w:szCs w:val="24"/>
        </w:rPr>
        <w:t>9–2</w:t>
      </w:r>
      <w:r w:rsidRPr="007D4DDF">
        <w:rPr>
          <w:szCs w:val="24"/>
        </w:rPr>
        <w:t>015.</w:t>
      </w:r>
    </w:p>
    <w:p w14:paraId="7062166E" w14:textId="77777777" w:rsidR="001A4592" w:rsidRPr="007D4DDF" w:rsidRDefault="002820CB" w:rsidP="00777703">
      <w:pPr>
        <w:spacing w:before="0" w:after="120" w:line="240" w:lineRule="auto"/>
        <w:rPr>
          <w:szCs w:val="24"/>
        </w:rPr>
      </w:pPr>
      <w:r w:rsidRPr="007D4DDF">
        <w:rPr>
          <w:szCs w:val="24"/>
        </w:rPr>
        <w:t>Michel Vols highlights research on homeless people in the Netherlands which showed that the three main pathways to homelessness were evictions (38 per cent), relationship problems (35 per cent) and other reasons (28 per cent). Finally, the difficulty of avoiding homelessness through access to new rented housing was emphasi</w:t>
      </w:r>
      <w:r w:rsidR="009134ED">
        <w:rPr>
          <w:szCs w:val="24"/>
        </w:rPr>
        <w:t>z</w:t>
      </w:r>
      <w:r w:rsidRPr="007D4DDF">
        <w:rPr>
          <w:szCs w:val="24"/>
        </w:rPr>
        <w:t xml:space="preserve">ed by Jana </w:t>
      </w:r>
      <w:proofErr w:type="spellStart"/>
      <w:r w:rsidRPr="007D4DDF">
        <w:rPr>
          <w:szCs w:val="24"/>
        </w:rPr>
        <w:t>Verstraete</w:t>
      </w:r>
      <w:proofErr w:type="spellEnd"/>
      <w:r w:rsidRPr="007D4DDF">
        <w:rPr>
          <w:szCs w:val="24"/>
        </w:rPr>
        <w:t xml:space="preserve">, Pascal De Decker and </w:t>
      </w:r>
      <w:proofErr w:type="spellStart"/>
      <w:r w:rsidRPr="007D4DDF">
        <w:rPr>
          <w:szCs w:val="24"/>
        </w:rPr>
        <w:t>Diederik</w:t>
      </w:r>
      <w:proofErr w:type="spellEnd"/>
      <w:r w:rsidRPr="007D4DDF">
        <w:rPr>
          <w:szCs w:val="24"/>
        </w:rPr>
        <w:t xml:space="preserve"> </w:t>
      </w:r>
      <w:proofErr w:type="spellStart"/>
      <w:r w:rsidRPr="007D4DDF">
        <w:rPr>
          <w:szCs w:val="24"/>
        </w:rPr>
        <w:t>Vermeir</w:t>
      </w:r>
      <w:proofErr w:type="spellEnd"/>
      <w:r w:rsidRPr="007D4DDF">
        <w:rPr>
          <w:szCs w:val="24"/>
        </w:rPr>
        <w:t xml:space="preserve"> for Belgium, since</w:t>
      </w:r>
      <w:r w:rsidR="00A73A28" w:rsidRPr="007D4DDF">
        <w:rPr>
          <w:szCs w:val="24"/>
        </w:rPr>
        <w:t>,</w:t>
      </w:r>
      <w:r w:rsidRPr="007D4DDF">
        <w:rPr>
          <w:szCs w:val="24"/>
        </w:rPr>
        <w:t xml:space="preserve"> where rents are high, landlords can be selective and may not look favourably upon applicants with a history of eviction.</w:t>
      </w:r>
    </w:p>
    <w:p w14:paraId="7E035C90" w14:textId="260B1675" w:rsidR="006E160F" w:rsidRDefault="006E160F">
      <w:pPr>
        <w:spacing w:before="0" w:after="0" w:line="240" w:lineRule="auto"/>
        <w:rPr>
          <w:szCs w:val="24"/>
        </w:rPr>
      </w:pPr>
      <w:r>
        <w:rPr>
          <w:szCs w:val="24"/>
        </w:rPr>
        <w:br w:type="page"/>
      </w:r>
    </w:p>
    <w:p w14:paraId="62030D8D" w14:textId="689BCF6C" w:rsidR="001A4592" w:rsidRPr="008B1CB3" w:rsidRDefault="00495EF7" w:rsidP="00777703">
      <w:pPr>
        <w:spacing w:before="0" w:after="120" w:line="240" w:lineRule="auto"/>
        <w:ind w:left="1134" w:hanging="1134"/>
        <w:rPr>
          <w:rFonts w:eastAsia="Gill Sans Light"/>
          <w:b/>
          <w:bCs/>
          <w:sz w:val="28"/>
          <w:szCs w:val="28"/>
        </w:rPr>
      </w:pPr>
      <w:bookmarkStart w:id="29" w:name="_Toc508191216"/>
      <w:r w:rsidRPr="008B1CB3">
        <w:rPr>
          <w:rFonts w:eastAsia="Gill Sans Light"/>
          <w:b/>
          <w:bCs/>
          <w:sz w:val="28"/>
          <w:szCs w:val="28"/>
        </w:rPr>
        <w:lastRenderedPageBreak/>
        <w:t>6</w:t>
      </w:r>
      <w:r w:rsidR="00777703" w:rsidRPr="008B1CB3">
        <w:rPr>
          <w:rFonts w:eastAsia="Gill Sans Light"/>
          <w:b/>
          <w:bCs/>
          <w:sz w:val="28"/>
          <w:szCs w:val="28"/>
        </w:rPr>
        <w:t>.</w:t>
      </w:r>
      <w:r w:rsidR="006E160F" w:rsidRPr="008B1CB3">
        <w:rPr>
          <w:rFonts w:eastAsia="Gill Sans Light"/>
          <w:b/>
          <w:bCs/>
          <w:sz w:val="28"/>
          <w:szCs w:val="28"/>
        </w:rPr>
        <w:t xml:space="preserve"> </w:t>
      </w:r>
      <w:r w:rsidR="002820CB" w:rsidRPr="008B1CB3">
        <w:rPr>
          <w:rFonts w:eastAsia="Gill Sans Light"/>
          <w:b/>
          <w:bCs/>
          <w:sz w:val="28"/>
          <w:szCs w:val="28"/>
        </w:rPr>
        <w:t>C</w:t>
      </w:r>
      <w:r w:rsidR="00CA6C4B" w:rsidRPr="008B1CB3">
        <w:rPr>
          <w:rFonts w:eastAsia="Gill Sans Light"/>
          <w:b/>
          <w:bCs/>
          <w:sz w:val="28"/>
          <w:szCs w:val="28"/>
        </w:rPr>
        <w:t>ONCLUSIO</w:t>
      </w:r>
      <w:r w:rsidR="003179B8" w:rsidRPr="008B1CB3">
        <w:rPr>
          <w:rFonts w:eastAsia="Gill Sans Light"/>
          <w:b/>
          <w:bCs/>
          <w:sz w:val="28"/>
          <w:szCs w:val="28"/>
        </w:rPr>
        <w:t>N</w:t>
      </w:r>
      <w:r w:rsidR="00035758" w:rsidRPr="008B1CB3">
        <w:rPr>
          <w:rFonts w:eastAsia="Gill Sans Light"/>
          <w:b/>
          <w:bCs/>
          <w:sz w:val="28"/>
          <w:szCs w:val="28"/>
        </w:rPr>
        <w:t xml:space="preserve"> </w:t>
      </w:r>
      <w:bookmarkEnd w:id="29"/>
    </w:p>
    <w:p w14:paraId="2A2BC333" w14:textId="77777777" w:rsidR="001A4592" w:rsidRPr="007D4DDF" w:rsidRDefault="008B50A3" w:rsidP="00395E14">
      <w:pPr>
        <w:spacing w:before="0" w:after="120" w:line="240" w:lineRule="auto"/>
        <w:rPr>
          <w:rFonts w:eastAsia="Gill Sans Light"/>
          <w:szCs w:val="24"/>
        </w:rPr>
      </w:pPr>
      <w:r w:rsidRPr="007D4DDF">
        <w:rPr>
          <w:color w:val="000000"/>
          <w:szCs w:val="24"/>
        </w:rPr>
        <w:t xml:space="preserve">Evictions are legally justified on the basis of enforcing property, mortgage, contract or tenancy law, as well </w:t>
      </w:r>
      <w:r w:rsidR="002973F6" w:rsidRPr="007D4DDF">
        <w:rPr>
          <w:color w:val="000000"/>
          <w:szCs w:val="24"/>
        </w:rPr>
        <w:t xml:space="preserve">as for </w:t>
      </w:r>
      <w:r w:rsidR="00F3639B" w:rsidRPr="007D4DDF">
        <w:rPr>
          <w:color w:val="000000"/>
          <w:szCs w:val="24"/>
        </w:rPr>
        <w:t xml:space="preserve">public and social policy reasons. </w:t>
      </w:r>
      <w:r w:rsidRPr="007D4DDF">
        <w:rPr>
          <w:bCs/>
          <w:color w:val="000000"/>
          <w:szCs w:val="24"/>
        </w:rPr>
        <w:t>All EU Member States have a unique blend of constitutional, legislative, human rights, administrative and procedural norms, as well as distinct political/policy approaches to evictions. An array of c</w:t>
      </w:r>
      <w:r w:rsidRPr="007D4DDF">
        <w:rPr>
          <w:color w:val="000000"/>
          <w:szCs w:val="24"/>
        </w:rPr>
        <w:t>omplex legal, social and procedural anti-eviction and support measures are in place in many countries, but in others there are significant gaps in the protection of housing rights in the context of evictions.</w:t>
      </w:r>
      <w:r w:rsidR="00F3639B" w:rsidRPr="007D4DDF">
        <w:rPr>
          <w:rStyle w:val="FootnoteReference"/>
          <w:color w:val="000000"/>
          <w:szCs w:val="24"/>
        </w:rPr>
        <w:footnoteReference w:id="169"/>
      </w:r>
      <w:r w:rsidRPr="007D4DDF">
        <w:rPr>
          <w:color w:val="000000"/>
          <w:szCs w:val="24"/>
        </w:rPr>
        <w:t xml:space="preserve"> </w:t>
      </w:r>
      <w:r w:rsidR="00F3639B" w:rsidRPr="007D4DDF">
        <w:rPr>
          <w:rFonts w:eastAsia="Gill Sans Light"/>
          <w:szCs w:val="24"/>
        </w:rPr>
        <w:t>The risk factors are the same</w:t>
      </w:r>
      <w:r w:rsidR="006443F8" w:rsidRPr="007D4DDF">
        <w:rPr>
          <w:rFonts w:eastAsia="Gill Sans Light"/>
          <w:szCs w:val="24"/>
        </w:rPr>
        <w:t xml:space="preserve"> –</w:t>
      </w:r>
      <w:r w:rsidR="00F3639B" w:rsidRPr="007D4DDF">
        <w:rPr>
          <w:rFonts w:eastAsia="Gill Sans Light"/>
          <w:szCs w:val="24"/>
        </w:rPr>
        <w:t xml:space="preserve"> a combination of structural, personal and social impacts</w:t>
      </w:r>
      <w:r w:rsidR="006443F8" w:rsidRPr="007D4DDF">
        <w:rPr>
          <w:rFonts w:eastAsia="Gill Sans Light"/>
          <w:szCs w:val="24"/>
        </w:rPr>
        <w:t xml:space="preserve"> – </w:t>
      </w:r>
      <w:r w:rsidR="00F3639B" w:rsidRPr="007D4DDF">
        <w:rPr>
          <w:rFonts w:eastAsia="Gill Sans Light"/>
          <w:szCs w:val="24"/>
        </w:rPr>
        <w:t xml:space="preserve">and the prevention of eviction can be enhanced through </w:t>
      </w:r>
      <w:r w:rsidR="0000263C" w:rsidRPr="007D4DDF">
        <w:rPr>
          <w:rFonts w:eastAsia="Gill Sans Light"/>
          <w:szCs w:val="24"/>
        </w:rPr>
        <w:t>state</w:t>
      </w:r>
      <w:r w:rsidR="00F3639B" w:rsidRPr="007D4DDF">
        <w:rPr>
          <w:rFonts w:eastAsia="Gill Sans Light"/>
          <w:szCs w:val="24"/>
        </w:rPr>
        <w:t xml:space="preserve"> measures. </w:t>
      </w:r>
      <w:r w:rsidRPr="007D4DDF">
        <w:rPr>
          <w:rFonts w:eastAsia="Gill Sans Light"/>
          <w:szCs w:val="24"/>
        </w:rPr>
        <w:t xml:space="preserve">This </w:t>
      </w:r>
      <w:r w:rsidR="002F08C8">
        <w:rPr>
          <w:rFonts w:eastAsia="Gill Sans Light"/>
          <w:szCs w:val="24"/>
        </w:rPr>
        <w:t>book</w:t>
      </w:r>
      <w:r w:rsidRPr="007D4DDF">
        <w:rPr>
          <w:rFonts w:eastAsia="Gill Sans Light"/>
          <w:szCs w:val="24"/>
        </w:rPr>
        <w:t xml:space="preserve"> shows that in the various </w:t>
      </w:r>
      <w:r w:rsidR="006443F8" w:rsidRPr="007D4DDF">
        <w:rPr>
          <w:rFonts w:eastAsia="Gill Sans Light"/>
          <w:szCs w:val="24"/>
        </w:rPr>
        <w:t xml:space="preserve">different </w:t>
      </w:r>
      <w:r w:rsidRPr="007D4DDF">
        <w:rPr>
          <w:rFonts w:eastAsia="Gill Sans Light"/>
          <w:szCs w:val="24"/>
        </w:rPr>
        <w:t xml:space="preserve">social, policy, legal and substantive contexts of evictions in eleven selected countries, cross-country comparisons are </w:t>
      </w:r>
      <w:r w:rsidR="00F3639B" w:rsidRPr="007D4DDF">
        <w:rPr>
          <w:rFonts w:eastAsia="Gill Sans Light"/>
          <w:szCs w:val="24"/>
        </w:rPr>
        <w:t xml:space="preserve">difficult, and </w:t>
      </w:r>
      <w:r w:rsidR="006443F8" w:rsidRPr="007D4DDF">
        <w:rPr>
          <w:rFonts w:eastAsia="Gill Sans Light"/>
          <w:szCs w:val="24"/>
        </w:rPr>
        <w:t xml:space="preserve">with </w:t>
      </w:r>
      <w:r w:rsidRPr="007D4DDF">
        <w:rPr>
          <w:rFonts w:eastAsia="Gill Sans Light"/>
          <w:szCs w:val="24"/>
        </w:rPr>
        <w:t xml:space="preserve">varying </w:t>
      </w:r>
      <w:r w:rsidR="00F3639B" w:rsidRPr="007D4DDF">
        <w:rPr>
          <w:rFonts w:eastAsia="Gill Sans Light"/>
          <w:szCs w:val="24"/>
        </w:rPr>
        <w:t>national system</w:t>
      </w:r>
      <w:r w:rsidRPr="007D4DDF">
        <w:rPr>
          <w:rFonts w:eastAsia="Gill Sans Light"/>
          <w:szCs w:val="24"/>
        </w:rPr>
        <w:t>s, a clear comparison</w:t>
      </w:r>
      <w:r w:rsidR="006443F8" w:rsidRPr="007D4DDF">
        <w:rPr>
          <w:rFonts w:eastAsia="Gill Sans Light"/>
          <w:szCs w:val="24"/>
        </w:rPr>
        <w:t xml:space="preserve"> is not always possible</w:t>
      </w:r>
      <w:r w:rsidRPr="007D4DDF">
        <w:rPr>
          <w:rFonts w:eastAsia="Gill Sans Light"/>
          <w:szCs w:val="24"/>
        </w:rPr>
        <w:t>.</w:t>
      </w:r>
    </w:p>
    <w:p w14:paraId="6BEC415C" w14:textId="77777777" w:rsidR="001A4592" w:rsidRPr="007D4DDF" w:rsidRDefault="00F3639B" w:rsidP="00777703">
      <w:pPr>
        <w:spacing w:before="0" w:after="120" w:line="240" w:lineRule="auto"/>
        <w:rPr>
          <w:rFonts w:eastAsia="Gill Sans Light"/>
          <w:szCs w:val="24"/>
        </w:rPr>
      </w:pPr>
      <w:r w:rsidRPr="007D4DDF">
        <w:rPr>
          <w:color w:val="000000"/>
          <w:szCs w:val="24"/>
        </w:rPr>
        <w:t>Each of the eleven countries ha</w:t>
      </w:r>
      <w:r w:rsidR="008B50A3" w:rsidRPr="007D4DDF">
        <w:rPr>
          <w:rFonts w:eastAsia="Gill Sans Light"/>
          <w:szCs w:val="24"/>
        </w:rPr>
        <w:t>s its own pattern and interaction of public policy, law, social inclusion measures</w:t>
      </w:r>
      <w:r w:rsidR="006443F8" w:rsidRPr="007D4DDF">
        <w:rPr>
          <w:rFonts w:eastAsia="Gill Sans Light"/>
          <w:szCs w:val="24"/>
        </w:rPr>
        <w:t>,</w:t>
      </w:r>
      <w:r w:rsidR="008B50A3" w:rsidRPr="007D4DDF">
        <w:rPr>
          <w:rFonts w:eastAsia="Gill Sans Light"/>
          <w:szCs w:val="24"/>
        </w:rPr>
        <w:t xml:space="preserve"> and</w:t>
      </w:r>
      <w:r w:rsidR="006443F8" w:rsidRPr="007D4DDF">
        <w:rPr>
          <w:rFonts w:eastAsia="Gill Sans Light"/>
          <w:szCs w:val="24"/>
        </w:rPr>
        <w:t>,</w:t>
      </w:r>
      <w:r w:rsidR="008B50A3" w:rsidRPr="007D4DDF">
        <w:rPr>
          <w:rFonts w:eastAsia="Gill Sans Light"/>
          <w:szCs w:val="24"/>
        </w:rPr>
        <w:t xml:space="preserve"> indeed, societal structures </w:t>
      </w:r>
      <w:r w:rsidR="000C1568" w:rsidRPr="007D4DDF">
        <w:rPr>
          <w:rFonts w:eastAsia="Gill Sans Light"/>
          <w:szCs w:val="24"/>
        </w:rPr>
        <w:t>that</w:t>
      </w:r>
      <w:r w:rsidR="008B50A3" w:rsidRPr="007D4DDF">
        <w:rPr>
          <w:rFonts w:eastAsia="Gill Sans Light"/>
          <w:szCs w:val="24"/>
        </w:rPr>
        <w:t xml:space="preserve"> impact on the prevalence and natu</w:t>
      </w:r>
      <w:r w:rsidRPr="007D4DDF">
        <w:rPr>
          <w:rFonts w:eastAsia="Gill Sans Light"/>
          <w:szCs w:val="24"/>
        </w:rPr>
        <w:t xml:space="preserve">re of evictions. The situation </w:t>
      </w:r>
      <w:r w:rsidR="008B50A3" w:rsidRPr="007D4DDF">
        <w:rPr>
          <w:rFonts w:eastAsia="Gill Sans Light"/>
          <w:szCs w:val="24"/>
        </w:rPr>
        <w:t xml:space="preserve">in the UK </w:t>
      </w:r>
      <w:r w:rsidR="00290F66" w:rsidRPr="007D4DDF">
        <w:rPr>
          <w:rFonts w:eastAsia="Gill Sans Light"/>
          <w:szCs w:val="24"/>
        </w:rPr>
        <w:t xml:space="preserve">– </w:t>
      </w:r>
      <w:r w:rsidR="008B50A3" w:rsidRPr="007D4DDF">
        <w:rPr>
          <w:rFonts w:eastAsia="Gill Sans Light"/>
          <w:szCs w:val="24"/>
        </w:rPr>
        <w:t xml:space="preserve">with very limited security for tenants – stands out. </w:t>
      </w:r>
      <w:r w:rsidR="00A30391" w:rsidRPr="007D4DDF">
        <w:rPr>
          <w:rFonts w:eastAsia="Gill Sans Light"/>
          <w:szCs w:val="24"/>
        </w:rPr>
        <w:t xml:space="preserve">But the situation generally is one where a clear overall picture can be formed </w:t>
      </w:r>
      <w:r w:rsidR="00FE03D9" w:rsidRPr="007D4DDF">
        <w:rPr>
          <w:rFonts w:eastAsia="Gill Sans Light"/>
          <w:szCs w:val="24"/>
        </w:rPr>
        <w:t xml:space="preserve">only </w:t>
      </w:r>
      <w:r w:rsidR="00A30391" w:rsidRPr="007D4DDF">
        <w:rPr>
          <w:rFonts w:eastAsia="Gill Sans Light"/>
          <w:szCs w:val="24"/>
        </w:rPr>
        <w:t>by assembling available data and reports</w:t>
      </w:r>
      <w:r w:rsidR="006443F8" w:rsidRPr="007D4DDF">
        <w:rPr>
          <w:rFonts w:eastAsia="Gill Sans Light"/>
          <w:szCs w:val="24"/>
        </w:rPr>
        <w:t>, which are</w:t>
      </w:r>
      <w:r w:rsidR="00A30391" w:rsidRPr="007D4DDF">
        <w:rPr>
          <w:rFonts w:eastAsia="Gill Sans Light"/>
          <w:szCs w:val="24"/>
        </w:rPr>
        <w:t xml:space="preserve"> often limited. </w:t>
      </w:r>
      <w:r w:rsidR="00752413" w:rsidRPr="007D4DDF">
        <w:rPr>
          <w:rFonts w:eastAsia="Gill Sans Light"/>
          <w:szCs w:val="24"/>
        </w:rPr>
        <w:t xml:space="preserve">Although it is clear that comparative data on evictions in </w:t>
      </w:r>
      <w:r w:rsidR="007220F8" w:rsidRPr="007D4DDF">
        <w:rPr>
          <w:rFonts w:eastAsia="Gill Sans Light"/>
          <w:szCs w:val="24"/>
        </w:rPr>
        <w:t xml:space="preserve">any particular </w:t>
      </w:r>
      <w:r w:rsidR="00752413" w:rsidRPr="007D4DDF">
        <w:rPr>
          <w:rFonts w:eastAsia="Gill Sans Light"/>
          <w:szCs w:val="24"/>
        </w:rPr>
        <w:t xml:space="preserve">tenure does not universally exist, permitting robust comparisons, there are similar factors </w:t>
      </w:r>
      <w:r w:rsidR="007435E2" w:rsidRPr="007D4DDF">
        <w:rPr>
          <w:rFonts w:eastAsia="Gill Sans Light"/>
          <w:szCs w:val="24"/>
        </w:rPr>
        <w:t xml:space="preserve">that create </w:t>
      </w:r>
      <w:r w:rsidR="00752413" w:rsidRPr="007D4DDF">
        <w:rPr>
          <w:rFonts w:eastAsia="Gill Sans Light"/>
          <w:szCs w:val="24"/>
        </w:rPr>
        <w:t xml:space="preserve">a </w:t>
      </w:r>
      <w:r w:rsidR="00A30391" w:rsidRPr="007D4DDF">
        <w:rPr>
          <w:rFonts w:eastAsia="Gill Sans Light"/>
          <w:szCs w:val="24"/>
        </w:rPr>
        <w:t>propensity</w:t>
      </w:r>
      <w:r w:rsidR="00752413" w:rsidRPr="007D4DDF">
        <w:rPr>
          <w:rFonts w:eastAsia="Gill Sans Light"/>
          <w:szCs w:val="24"/>
        </w:rPr>
        <w:t xml:space="preserve"> for evictions. Poor security of tenure, high housing costs, unemployment or income shock, illness, </w:t>
      </w:r>
      <w:r w:rsidR="00A30391" w:rsidRPr="007D4DDF">
        <w:rPr>
          <w:rFonts w:eastAsia="Gill Sans Light"/>
          <w:szCs w:val="24"/>
        </w:rPr>
        <w:t>relationship</w:t>
      </w:r>
      <w:r w:rsidR="00752413" w:rsidRPr="007D4DDF">
        <w:rPr>
          <w:rFonts w:eastAsia="Gill Sans Light"/>
          <w:szCs w:val="24"/>
        </w:rPr>
        <w:t xml:space="preserve"> breakdown or </w:t>
      </w:r>
      <w:r w:rsidR="00A30391" w:rsidRPr="007D4DDF">
        <w:rPr>
          <w:rFonts w:eastAsia="Gill Sans Light"/>
          <w:szCs w:val="24"/>
        </w:rPr>
        <w:t>death</w:t>
      </w:r>
      <w:r w:rsidR="00752413" w:rsidRPr="007D4DDF">
        <w:rPr>
          <w:rFonts w:eastAsia="Gill Sans Light"/>
          <w:szCs w:val="24"/>
        </w:rPr>
        <w:t xml:space="preserve"> of a partner, combined with personal difficulties and lack of social or personal support create a high risk of evictions everywhere. The level of legal and social protection determines whether an eviction take</w:t>
      </w:r>
      <w:r w:rsidR="006443F8" w:rsidRPr="007D4DDF">
        <w:rPr>
          <w:rFonts w:eastAsia="Gill Sans Light"/>
          <w:szCs w:val="24"/>
        </w:rPr>
        <w:t>s</w:t>
      </w:r>
      <w:r w:rsidR="00752413" w:rsidRPr="007D4DDF">
        <w:rPr>
          <w:rFonts w:eastAsia="Gill Sans Light"/>
          <w:szCs w:val="24"/>
        </w:rPr>
        <w:t xml:space="preserve"> place in </w:t>
      </w:r>
      <w:r w:rsidR="00A30391" w:rsidRPr="007D4DDF">
        <w:rPr>
          <w:rFonts w:eastAsia="Gill Sans Light"/>
          <w:szCs w:val="24"/>
        </w:rPr>
        <w:t>these circumstances</w:t>
      </w:r>
      <w:r w:rsidR="00752413" w:rsidRPr="007D4DDF">
        <w:rPr>
          <w:rFonts w:eastAsia="Gill Sans Light"/>
          <w:szCs w:val="24"/>
        </w:rPr>
        <w:t xml:space="preserve"> or not</w:t>
      </w:r>
      <w:r w:rsidR="00D678B9" w:rsidRPr="007D4DDF">
        <w:rPr>
          <w:rFonts w:eastAsia="Gill Sans Light"/>
          <w:szCs w:val="24"/>
        </w:rPr>
        <w:t>;</w:t>
      </w:r>
      <w:r w:rsidR="00752413" w:rsidRPr="007D4DDF">
        <w:rPr>
          <w:rFonts w:eastAsia="Gill Sans Light"/>
          <w:szCs w:val="24"/>
        </w:rPr>
        <w:t xml:space="preserve"> and whether those evicted become homeless and experience </w:t>
      </w:r>
      <w:r w:rsidR="006443F8" w:rsidRPr="007D4DDF">
        <w:rPr>
          <w:rFonts w:eastAsia="Gill Sans Light"/>
          <w:szCs w:val="24"/>
        </w:rPr>
        <w:t xml:space="preserve">one </w:t>
      </w:r>
      <w:r w:rsidR="00752413" w:rsidRPr="007D4DDF">
        <w:rPr>
          <w:rFonts w:eastAsia="Gill Sans Light"/>
          <w:szCs w:val="24"/>
        </w:rPr>
        <w:t xml:space="preserve">of </w:t>
      </w:r>
      <w:r w:rsidR="002F08C8">
        <w:rPr>
          <w:rFonts w:eastAsia="Gill Sans Light"/>
          <w:szCs w:val="24"/>
        </w:rPr>
        <w:t>‘</w:t>
      </w:r>
      <w:r w:rsidR="00752413" w:rsidRPr="007D4DDF">
        <w:rPr>
          <w:rFonts w:eastAsia="Gill Sans Light"/>
          <w:szCs w:val="24"/>
        </w:rPr>
        <w:t xml:space="preserve">life’s </w:t>
      </w:r>
      <w:proofErr w:type="gramStart"/>
      <w:r w:rsidR="00752413" w:rsidRPr="007D4DDF">
        <w:rPr>
          <w:rFonts w:eastAsia="Gill Sans Light"/>
          <w:szCs w:val="24"/>
        </w:rPr>
        <w:t>tragedies</w:t>
      </w:r>
      <w:r w:rsidR="002F08C8">
        <w:rPr>
          <w:rFonts w:eastAsia="Gill Sans Light"/>
          <w:szCs w:val="24"/>
        </w:rPr>
        <w:t>’</w:t>
      </w:r>
      <w:proofErr w:type="gramEnd"/>
      <w:r w:rsidR="00752413" w:rsidRPr="007D4DDF">
        <w:rPr>
          <w:rFonts w:eastAsia="Gill Sans Light"/>
          <w:szCs w:val="24"/>
        </w:rPr>
        <w:t>.</w:t>
      </w:r>
    </w:p>
    <w:p w14:paraId="61944B59" w14:textId="77777777" w:rsidR="001A4592" w:rsidRPr="007D4DDF" w:rsidRDefault="00F3639B" w:rsidP="00395E14">
      <w:pPr>
        <w:spacing w:before="0" w:after="120" w:line="240" w:lineRule="auto"/>
        <w:rPr>
          <w:rFonts w:eastAsia="Gill Sans Light"/>
          <w:szCs w:val="24"/>
        </w:rPr>
      </w:pPr>
      <w:r w:rsidRPr="007D4DDF">
        <w:rPr>
          <w:rFonts w:eastAsia="Gill Sans Light"/>
          <w:szCs w:val="24"/>
        </w:rPr>
        <w:t>While some examples of innovative legal and human rights development shine out, particularly in Poland and Spain, t</w:t>
      </w:r>
      <w:r w:rsidR="002820CB" w:rsidRPr="007D4DDF">
        <w:rPr>
          <w:rFonts w:eastAsia="Gill Sans Light"/>
          <w:szCs w:val="24"/>
        </w:rPr>
        <w:t xml:space="preserve">he analysis </w:t>
      </w:r>
      <w:r w:rsidRPr="007D4DDF">
        <w:rPr>
          <w:rFonts w:eastAsia="Gill Sans Light"/>
          <w:szCs w:val="24"/>
        </w:rPr>
        <w:t xml:space="preserve">in the chapters shows </w:t>
      </w:r>
      <w:r w:rsidR="002820CB" w:rsidRPr="007D4DDF">
        <w:rPr>
          <w:rFonts w:eastAsia="Gill Sans Light"/>
          <w:szCs w:val="24"/>
        </w:rPr>
        <w:t xml:space="preserve">little evidence of systematic application of EU consumer and human rights law across the eleven countries. Witold </w:t>
      </w:r>
      <w:proofErr w:type="spellStart"/>
      <w:r w:rsidR="002820CB" w:rsidRPr="007D4DDF">
        <w:rPr>
          <w:rFonts w:eastAsia="Gill Sans Light"/>
          <w:szCs w:val="24"/>
        </w:rPr>
        <w:t>Borysiak</w:t>
      </w:r>
      <w:proofErr w:type="spellEnd"/>
      <w:r w:rsidR="002820CB" w:rsidRPr="007D4DDF">
        <w:rPr>
          <w:rFonts w:eastAsia="Gill Sans Light"/>
          <w:szCs w:val="24"/>
        </w:rPr>
        <w:t xml:space="preserve"> demonstrates that the </w:t>
      </w:r>
      <w:r w:rsidR="006443F8" w:rsidRPr="007D4DDF">
        <w:rPr>
          <w:rFonts w:eastAsia="Gill Sans Light"/>
          <w:szCs w:val="24"/>
        </w:rPr>
        <w:t xml:space="preserve">courts </w:t>
      </w:r>
      <w:r w:rsidR="002820CB" w:rsidRPr="007D4DDF">
        <w:rPr>
          <w:rFonts w:eastAsia="Gill Sans Light"/>
          <w:szCs w:val="24"/>
        </w:rPr>
        <w:t xml:space="preserve">in Poland </w:t>
      </w:r>
      <w:r w:rsidR="002820CB" w:rsidRPr="007D4DDF">
        <w:rPr>
          <w:szCs w:val="24"/>
        </w:rPr>
        <w:t xml:space="preserve">have developed an advanced jurisprudence in this area, combining constitutional rights to dignity with ECHR rights on home and national legislation to create an innovative matrix of protection against eviction </w:t>
      </w:r>
      <w:r w:rsidR="006443F8" w:rsidRPr="007D4DDF">
        <w:rPr>
          <w:szCs w:val="24"/>
        </w:rPr>
        <w:t xml:space="preserve">where </w:t>
      </w:r>
      <w:r w:rsidR="002820CB" w:rsidRPr="007D4DDF">
        <w:rPr>
          <w:szCs w:val="24"/>
        </w:rPr>
        <w:t xml:space="preserve">alternative accommodation </w:t>
      </w:r>
      <w:r w:rsidR="006443F8" w:rsidRPr="007D4DDF">
        <w:rPr>
          <w:szCs w:val="24"/>
        </w:rPr>
        <w:t xml:space="preserve">is not </w:t>
      </w:r>
      <w:r w:rsidR="002820CB" w:rsidRPr="007D4DDF">
        <w:rPr>
          <w:szCs w:val="24"/>
        </w:rPr>
        <w:t xml:space="preserve">made available. In Spain, the EU consumer law cases have established obligations on Spanish courts to carry out </w:t>
      </w:r>
      <w:r w:rsidR="00877182" w:rsidRPr="007D4DDF">
        <w:rPr>
          <w:szCs w:val="24"/>
        </w:rPr>
        <w:t>own</w:t>
      </w:r>
      <w:r w:rsidR="006443F8" w:rsidRPr="007D4DDF">
        <w:rPr>
          <w:szCs w:val="24"/>
        </w:rPr>
        <w:t>-</w:t>
      </w:r>
      <w:r w:rsidR="00877182" w:rsidRPr="007D4DDF">
        <w:rPr>
          <w:szCs w:val="24"/>
        </w:rPr>
        <w:t>moti</w:t>
      </w:r>
      <w:r w:rsidR="002820CB" w:rsidRPr="007D4DDF">
        <w:rPr>
          <w:szCs w:val="24"/>
        </w:rPr>
        <w:t>on</w:t>
      </w:r>
      <w:r w:rsidR="00877182" w:rsidRPr="007D4DDF">
        <w:rPr>
          <w:szCs w:val="24"/>
        </w:rPr>
        <w:t xml:space="preserve"> </w:t>
      </w:r>
      <w:r w:rsidR="002820CB" w:rsidRPr="007D4DDF">
        <w:rPr>
          <w:szCs w:val="24"/>
        </w:rPr>
        <w:t xml:space="preserve">assessments for unfair terms in mortgage possession cases, and to interpret the compatibility of the whole process </w:t>
      </w:r>
      <w:r w:rsidR="007220F8" w:rsidRPr="007D4DDF">
        <w:rPr>
          <w:szCs w:val="24"/>
        </w:rPr>
        <w:t>with</w:t>
      </w:r>
      <w:r w:rsidR="002820CB" w:rsidRPr="007D4DDF">
        <w:rPr>
          <w:szCs w:val="24"/>
        </w:rPr>
        <w:t xml:space="preserve"> respect for the rights of the EU Charter</w:t>
      </w:r>
      <w:r w:rsidR="002F08C8">
        <w:rPr>
          <w:szCs w:val="24"/>
        </w:rPr>
        <w:t xml:space="preserve"> of Fundamental Rights</w:t>
      </w:r>
      <w:r w:rsidRPr="007D4DDF">
        <w:rPr>
          <w:szCs w:val="24"/>
        </w:rPr>
        <w:t>. However, this d</w:t>
      </w:r>
      <w:r w:rsidR="002820CB" w:rsidRPr="007D4DDF">
        <w:rPr>
          <w:szCs w:val="24"/>
        </w:rPr>
        <w:t>oes not appear to have been followed elsewhere to any great extent. While Germany has a somewhat unique approach to the issue of harm caused by an eviction, in practice this does not lead to any significant legal development</w:t>
      </w:r>
      <w:r w:rsidRPr="007D4DDF">
        <w:rPr>
          <w:szCs w:val="24"/>
        </w:rPr>
        <w:t xml:space="preserve">s. </w:t>
      </w:r>
      <w:r w:rsidR="002820CB" w:rsidRPr="007D4DDF">
        <w:rPr>
          <w:szCs w:val="24"/>
        </w:rPr>
        <w:t>Equally, this research shows that</w:t>
      </w:r>
      <w:r w:rsidR="006443F8" w:rsidRPr="007D4DDF">
        <w:rPr>
          <w:szCs w:val="24"/>
        </w:rPr>
        <w:t xml:space="preserve"> in the Netherlands and the UK</w:t>
      </w:r>
      <w:r w:rsidR="00495EF7" w:rsidRPr="007D4DDF">
        <w:rPr>
          <w:szCs w:val="24"/>
        </w:rPr>
        <w:t xml:space="preserve"> </w:t>
      </w:r>
      <w:r w:rsidR="001B52CF" w:rsidRPr="007D4DDF">
        <w:rPr>
          <w:szCs w:val="24"/>
        </w:rPr>
        <w:t>(</w:t>
      </w:r>
      <w:r w:rsidR="00495EF7" w:rsidRPr="007D4DDF">
        <w:rPr>
          <w:szCs w:val="24"/>
        </w:rPr>
        <w:t>for social housing only</w:t>
      </w:r>
      <w:r w:rsidR="001B52CF" w:rsidRPr="007D4DDF">
        <w:rPr>
          <w:szCs w:val="24"/>
        </w:rPr>
        <w:t>)</w:t>
      </w:r>
      <w:r w:rsidR="006443F8" w:rsidRPr="007D4DDF">
        <w:rPr>
          <w:szCs w:val="24"/>
        </w:rPr>
        <w:t xml:space="preserve">, where the courts comply strictly with the Article 8 ECHR proportionality assessment, </w:t>
      </w:r>
      <w:r w:rsidR="002820CB" w:rsidRPr="007D4DDF">
        <w:rPr>
          <w:szCs w:val="24"/>
        </w:rPr>
        <w:t>in reality the balance between those who own or control property and those being evicted remains generally in favour of those own</w:t>
      </w:r>
      <w:r w:rsidR="006443F8" w:rsidRPr="007D4DDF">
        <w:rPr>
          <w:szCs w:val="24"/>
        </w:rPr>
        <w:t>ers</w:t>
      </w:r>
      <w:r w:rsidR="002820CB" w:rsidRPr="007D4DDF">
        <w:rPr>
          <w:szCs w:val="24"/>
        </w:rPr>
        <w:t xml:space="preserve"> or control</w:t>
      </w:r>
      <w:r w:rsidR="006443F8" w:rsidRPr="007D4DDF">
        <w:rPr>
          <w:szCs w:val="24"/>
        </w:rPr>
        <w:t>lers</w:t>
      </w:r>
      <w:r w:rsidR="002820CB" w:rsidRPr="007D4DDF">
        <w:rPr>
          <w:szCs w:val="24"/>
        </w:rPr>
        <w:t xml:space="preserve">. One area which seems to be undeveloped in any of the jurisdictions is that of the rights of household members who may not be party to the mortgage or the </w:t>
      </w:r>
      <w:r w:rsidR="002820CB" w:rsidRPr="007D4DDF">
        <w:rPr>
          <w:szCs w:val="24"/>
        </w:rPr>
        <w:lastRenderedPageBreak/>
        <w:t>tenancy, such a</w:t>
      </w:r>
      <w:r w:rsidRPr="007D4DDF">
        <w:rPr>
          <w:szCs w:val="24"/>
        </w:rPr>
        <w:t>s children or adult depend</w:t>
      </w:r>
      <w:r w:rsidR="006443F8" w:rsidRPr="007D4DDF">
        <w:rPr>
          <w:szCs w:val="24"/>
        </w:rPr>
        <w:t>e</w:t>
      </w:r>
      <w:r w:rsidRPr="007D4DDF">
        <w:rPr>
          <w:szCs w:val="24"/>
        </w:rPr>
        <w:t xml:space="preserve">nts. </w:t>
      </w:r>
      <w:r w:rsidR="002820CB" w:rsidRPr="007D4DDF">
        <w:rPr>
          <w:szCs w:val="24"/>
        </w:rPr>
        <w:t xml:space="preserve">Their rights do not seem to figure in any of the cases and only marginally in policy measures. While most </w:t>
      </w:r>
      <w:r w:rsidR="006771D4" w:rsidRPr="007D4DDF">
        <w:rPr>
          <w:szCs w:val="24"/>
        </w:rPr>
        <w:t>s</w:t>
      </w:r>
      <w:r w:rsidR="002820CB" w:rsidRPr="007D4DDF">
        <w:rPr>
          <w:szCs w:val="24"/>
        </w:rPr>
        <w:t xml:space="preserve">tates have policies to protect children from homelessness, the integration of these rights with the right to continue living in an established home seems to be largely relegated to post-eviction protection measures. </w:t>
      </w:r>
    </w:p>
    <w:p w14:paraId="111B88F3" w14:textId="77777777" w:rsidR="001A4592" w:rsidRPr="007D4DDF" w:rsidRDefault="002820CB" w:rsidP="00395E14">
      <w:pPr>
        <w:spacing w:before="0" w:after="120" w:line="240" w:lineRule="auto"/>
        <w:rPr>
          <w:rFonts w:eastAsia="Gill Sans Light"/>
          <w:szCs w:val="24"/>
        </w:rPr>
      </w:pPr>
      <w:r w:rsidRPr="007D4DDF">
        <w:rPr>
          <w:rFonts w:eastAsia="Gill Sans Light"/>
          <w:szCs w:val="24"/>
        </w:rPr>
        <w:t>Blanket bans or moratoria on mortgage</w:t>
      </w:r>
      <w:r w:rsidR="00112951" w:rsidRPr="007D4DDF">
        <w:rPr>
          <w:rFonts w:eastAsia="Gill Sans Light"/>
          <w:szCs w:val="24"/>
        </w:rPr>
        <w:t>-</w:t>
      </w:r>
      <w:r w:rsidRPr="007D4DDF">
        <w:rPr>
          <w:rFonts w:eastAsia="Gill Sans Light"/>
          <w:szCs w:val="24"/>
        </w:rPr>
        <w:t xml:space="preserve">related possessions are in force in Italy and Spain, although the ECB states that </w:t>
      </w:r>
      <w:r w:rsidR="006443F8" w:rsidRPr="007D4DDF">
        <w:rPr>
          <w:rFonts w:eastAsia="Gill Sans Light"/>
          <w:szCs w:val="24"/>
        </w:rPr>
        <w:t>debt-</w:t>
      </w:r>
      <w:r w:rsidRPr="007D4DDF">
        <w:rPr>
          <w:rFonts w:eastAsia="Gill Sans Light"/>
          <w:szCs w:val="24"/>
        </w:rPr>
        <w:t>enforcement procedures in Germany, Ireland and Spain are not an obstacle to NPL resolution. However, the ECB suggest</w:t>
      </w:r>
      <w:r w:rsidR="006443F8" w:rsidRPr="007D4DDF">
        <w:rPr>
          <w:rFonts w:eastAsia="Gill Sans Light"/>
          <w:szCs w:val="24"/>
        </w:rPr>
        <w:t>s</w:t>
      </w:r>
      <w:r w:rsidRPr="007D4DDF">
        <w:rPr>
          <w:rFonts w:eastAsia="Gill Sans Light"/>
          <w:szCs w:val="24"/>
        </w:rPr>
        <w:t xml:space="preserve"> that the </w:t>
      </w:r>
      <w:r w:rsidR="00D678B9" w:rsidRPr="007D4DDF">
        <w:rPr>
          <w:rFonts w:eastAsia="Gill Sans Light"/>
          <w:szCs w:val="24"/>
        </w:rPr>
        <w:t>‘</w:t>
      </w:r>
      <w:r w:rsidR="00752413" w:rsidRPr="007D4DDF">
        <w:rPr>
          <w:rFonts w:eastAsia="Gill Sans Light"/>
          <w:szCs w:val="24"/>
        </w:rPr>
        <w:t>foreclosure</w:t>
      </w:r>
      <w:r w:rsidR="00D678B9" w:rsidRPr="007D4DDF">
        <w:rPr>
          <w:rFonts w:eastAsia="Gill Sans Light"/>
          <w:szCs w:val="24"/>
        </w:rPr>
        <w:t>’</w:t>
      </w:r>
      <w:r w:rsidR="00752413" w:rsidRPr="007D4DDF">
        <w:rPr>
          <w:rFonts w:eastAsia="Gill Sans Light"/>
          <w:szCs w:val="24"/>
        </w:rPr>
        <w:t xml:space="preserve"> </w:t>
      </w:r>
      <w:r w:rsidRPr="007D4DDF">
        <w:rPr>
          <w:rFonts w:eastAsia="Gill Sans Light"/>
          <w:szCs w:val="24"/>
        </w:rPr>
        <w:t>procedures are an obstacle in Italy and Slovenia.</w:t>
      </w:r>
      <w:r w:rsidRPr="007D4DDF">
        <w:rPr>
          <w:rStyle w:val="FootnoteReference"/>
          <w:rFonts w:eastAsia="Gill Sans Light"/>
          <w:szCs w:val="24"/>
        </w:rPr>
        <w:footnoteReference w:id="170"/>
      </w:r>
      <w:r w:rsidR="00752413" w:rsidRPr="007D4DDF">
        <w:rPr>
          <w:rFonts w:eastAsia="Gill Sans Light"/>
          <w:szCs w:val="24"/>
        </w:rPr>
        <w:t xml:space="preserve"> Many </w:t>
      </w:r>
      <w:r w:rsidR="006771D4" w:rsidRPr="007D4DDF">
        <w:rPr>
          <w:rFonts w:eastAsia="Gill Sans Light"/>
          <w:szCs w:val="24"/>
        </w:rPr>
        <w:t>s</w:t>
      </w:r>
      <w:r w:rsidR="00752413" w:rsidRPr="007D4DDF">
        <w:rPr>
          <w:rFonts w:eastAsia="Gill Sans Light"/>
          <w:szCs w:val="24"/>
        </w:rPr>
        <w:t xml:space="preserve">tates and regions have winter or </w:t>
      </w:r>
      <w:r w:rsidR="006443F8" w:rsidRPr="007D4DDF">
        <w:rPr>
          <w:rFonts w:eastAsia="Gill Sans Light"/>
          <w:szCs w:val="24"/>
        </w:rPr>
        <w:t>night-</w:t>
      </w:r>
      <w:r w:rsidR="00752413" w:rsidRPr="007D4DDF">
        <w:rPr>
          <w:rFonts w:eastAsia="Gill Sans Light"/>
          <w:szCs w:val="24"/>
        </w:rPr>
        <w:t>time bans on evictions.</w:t>
      </w:r>
    </w:p>
    <w:p w14:paraId="6861902A" w14:textId="77777777" w:rsidR="001A4592" w:rsidRPr="007D4DDF" w:rsidRDefault="002820CB" w:rsidP="00777703">
      <w:pPr>
        <w:spacing w:before="0" w:after="120" w:line="240" w:lineRule="auto"/>
        <w:rPr>
          <w:color w:val="000000"/>
          <w:szCs w:val="24"/>
        </w:rPr>
      </w:pPr>
      <w:r w:rsidRPr="007D4DDF">
        <w:rPr>
          <w:rFonts w:eastAsia="Gill Sans Light"/>
          <w:szCs w:val="24"/>
        </w:rPr>
        <w:t xml:space="preserve">Developing a European narrative on loss of home </w:t>
      </w:r>
      <w:r w:rsidR="00752413" w:rsidRPr="007D4DDF">
        <w:rPr>
          <w:rFonts w:eastAsia="Gill Sans Light"/>
          <w:szCs w:val="24"/>
        </w:rPr>
        <w:t xml:space="preserve">must be viewed </w:t>
      </w:r>
      <w:r w:rsidRPr="007D4DDF">
        <w:rPr>
          <w:rFonts w:eastAsia="Gill Sans Light"/>
          <w:szCs w:val="24"/>
        </w:rPr>
        <w:t>in the context of the difficulties of creating EU harmoni</w:t>
      </w:r>
      <w:r w:rsidR="009134ED">
        <w:rPr>
          <w:rFonts w:eastAsia="Gill Sans Light"/>
          <w:szCs w:val="24"/>
        </w:rPr>
        <w:t>z</w:t>
      </w:r>
      <w:r w:rsidRPr="007D4DDF">
        <w:rPr>
          <w:rFonts w:eastAsia="Gill Sans Light"/>
          <w:szCs w:val="24"/>
        </w:rPr>
        <w:t xml:space="preserve">ed standards, and the </w:t>
      </w:r>
      <w:r w:rsidR="00752413" w:rsidRPr="007D4DDF">
        <w:rPr>
          <w:rFonts w:eastAsia="Gill Sans Light"/>
          <w:szCs w:val="24"/>
        </w:rPr>
        <w:t xml:space="preserve">disparate but </w:t>
      </w:r>
      <w:r w:rsidRPr="007D4DDF">
        <w:rPr>
          <w:rFonts w:eastAsia="Gill Sans Light"/>
          <w:szCs w:val="24"/>
        </w:rPr>
        <w:t xml:space="preserve">emerging human rights jurisprudence. </w:t>
      </w:r>
      <w:r w:rsidR="00752413" w:rsidRPr="007D4DDF">
        <w:rPr>
          <w:rFonts w:eastAsia="Gill Sans Light"/>
          <w:szCs w:val="24"/>
        </w:rPr>
        <w:t xml:space="preserve">However, all eleven countries have adopted a set of common housing rights norms and are adapting these to a greater or </w:t>
      </w:r>
      <w:r w:rsidR="00A30391" w:rsidRPr="007D4DDF">
        <w:rPr>
          <w:rFonts w:eastAsia="Gill Sans Light"/>
          <w:szCs w:val="24"/>
        </w:rPr>
        <w:t>lesser</w:t>
      </w:r>
      <w:r w:rsidR="00752413" w:rsidRPr="007D4DDF">
        <w:rPr>
          <w:rFonts w:eastAsia="Gill Sans Light"/>
          <w:szCs w:val="24"/>
        </w:rPr>
        <w:t xml:space="preserve"> extent i</w:t>
      </w:r>
      <w:r w:rsidR="00D73848" w:rsidRPr="007D4DDF">
        <w:rPr>
          <w:rFonts w:eastAsia="Gill Sans Light"/>
          <w:szCs w:val="24"/>
        </w:rPr>
        <w:t xml:space="preserve">nto the corpus of national </w:t>
      </w:r>
      <w:r w:rsidR="00A30391" w:rsidRPr="007D4DDF">
        <w:rPr>
          <w:rFonts w:eastAsia="Gill Sans Light"/>
          <w:szCs w:val="24"/>
        </w:rPr>
        <w:t>law. The</w:t>
      </w:r>
      <w:r w:rsidR="00D73848" w:rsidRPr="007D4DDF">
        <w:rPr>
          <w:rFonts w:eastAsia="Gill Sans Light"/>
          <w:szCs w:val="24"/>
        </w:rPr>
        <w:t xml:space="preserve"> obligation on all </w:t>
      </w:r>
      <w:r w:rsidR="0000263C" w:rsidRPr="007D4DDF">
        <w:rPr>
          <w:rFonts w:eastAsia="Gill Sans Light"/>
          <w:szCs w:val="24"/>
        </w:rPr>
        <w:t xml:space="preserve">states </w:t>
      </w:r>
      <w:r w:rsidR="00D73848" w:rsidRPr="007D4DDF">
        <w:rPr>
          <w:rFonts w:eastAsia="Gill Sans Light"/>
          <w:szCs w:val="24"/>
        </w:rPr>
        <w:t>which have accepted the ECHR to ensure that</w:t>
      </w:r>
      <w:r w:rsidR="00A30391" w:rsidRPr="007D4DDF">
        <w:rPr>
          <w:rFonts w:eastAsia="Gill Sans Light"/>
          <w:szCs w:val="24"/>
        </w:rPr>
        <w:t xml:space="preserve"> </w:t>
      </w:r>
      <w:r w:rsidR="00D73848" w:rsidRPr="007D4DDF">
        <w:rPr>
          <w:rFonts w:eastAsia="Gill Sans Light"/>
          <w:szCs w:val="24"/>
        </w:rPr>
        <w:t xml:space="preserve">any person at risk of losing their home must have the </w:t>
      </w:r>
      <w:r w:rsidR="00D73848" w:rsidRPr="007D4DDF">
        <w:rPr>
          <w:szCs w:val="24"/>
        </w:rPr>
        <w:t>proportionality of the measure determined by an independent tribunal in the light of the relevant principles under Article 8 ECHR provides a sound common protective base.</w:t>
      </w:r>
      <w:r w:rsidR="00D73848" w:rsidRPr="007D4DDF">
        <w:rPr>
          <w:rStyle w:val="FootnoteReference"/>
          <w:szCs w:val="24"/>
        </w:rPr>
        <w:footnoteReference w:id="171"/>
      </w:r>
      <w:r w:rsidR="00D73848" w:rsidRPr="007D4DDF">
        <w:rPr>
          <w:szCs w:val="24"/>
        </w:rPr>
        <w:t xml:space="preserve"> This human rights norm has been clarified further in </w:t>
      </w:r>
      <w:proofErr w:type="spellStart"/>
      <w:r w:rsidR="00D73848" w:rsidRPr="007D4DDF">
        <w:rPr>
          <w:i/>
          <w:color w:val="000000"/>
          <w:szCs w:val="24"/>
        </w:rPr>
        <w:t>Yordanova</w:t>
      </w:r>
      <w:proofErr w:type="spellEnd"/>
      <w:r w:rsidR="006443F8" w:rsidRPr="007D4DDF">
        <w:rPr>
          <w:color w:val="000000"/>
          <w:szCs w:val="24"/>
        </w:rPr>
        <w:t>,</w:t>
      </w:r>
      <w:r w:rsidR="00D73848" w:rsidRPr="007D4DDF">
        <w:rPr>
          <w:rStyle w:val="FootnoteReference"/>
          <w:color w:val="000000"/>
          <w:szCs w:val="24"/>
        </w:rPr>
        <w:footnoteReference w:id="172"/>
      </w:r>
      <w:r w:rsidR="00D73848" w:rsidRPr="007D4DDF">
        <w:rPr>
          <w:i/>
          <w:color w:val="000000"/>
          <w:szCs w:val="24"/>
        </w:rPr>
        <w:t xml:space="preserve"> </w:t>
      </w:r>
      <w:r w:rsidR="00D73848" w:rsidRPr="007D4DDF">
        <w:rPr>
          <w:iCs/>
          <w:color w:val="000000"/>
          <w:szCs w:val="24"/>
        </w:rPr>
        <w:t xml:space="preserve">which identified that the proportionality issues relate to the effect of an eviction on the </w:t>
      </w:r>
      <w:r w:rsidR="00D73848" w:rsidRPr="007D4DDF">
        <w:rPr>
          <w:szCs w:val="24"/>
        </w:rPr>
        <w:t xml:space="preserve">individual’s identity, self-determination, physical and moral integrity, maintenance of relationships with others, </w:t>
      </w:r>
      <w:r w:rsidR="00290F66" w:rsidRPr="007D4DDF">
        <w:rPr>
          <w:szCs w:val="24"/>
        </w:rPr>
        <w:t xml:space="preserve">and </w:t>
      </w:r>
      <w:r w:rsidR="00D73848" w:rsidRPr="007D4DDF">
        <w:rPr>
          <w:szCs w:val="24"/>
        </w:rPr>
        <w:t>settled and secure place in the community, and the extent of the intrusion into the personal sphere of the applicant being evicted. Since Article 8 ECHR is replicated in Article 7 of the EU Charter of Fundamental Rights</w:t>
      </w:r>
      <w:r w:rsidR="00984EE9" w:rsidRPr="007D4DDF">
        <w:rPr>
          <w:szCs w:val="24"/>
        </w:rPr>
        <w:t>,</w:t>
      </w:r>
      <w:r w:rsidR="00D73848" w:rsidRPr="007D4DDF">
        <w:rPr>
          <w:szCs w:val="24"/>
        </w:rPr>
        <w:t xml:space="preserve"> this norm can become part of EU law, and indeed has been so regarded by the CJEU.</w:t>
      </w:r>
      <w:r w:rsidR="00D73848" w:rsidRPr="007D4DDF">
        <w:rPr>
          <w:color w:val="000000"/>
          <w:szCs w:val="24"/>
        </w:rPr>
        <w:t xml:space="preserve"> </w:t>
      </w:r>
      <w:r w:rsidR="00D73848" w:rsidRPr="007D4DDF">
        <w:rPr>
          <w:szCs w:val="24"/>
        </w:rPr>
        <w:t>The MCD, although not yet transposed by all EU Member States, has the potential to create a harmoni</w:t>
      </w:r>
      <w:r w:rsidR="009134ED">
        <w:rPr>
          <w:szCs w:val="24"/>
        </w:rPr>
        <w:t>z</w:t>
      </w:r>
      <w:r w:rsidR="00D73848" w:rsidRPr="007D4DDF">
        <w:rPr>
          <w:szCs w:val="24"/>
        </w:rPr>
        <w:t xml:space="preserve">ed and </w:t>
      </w:r>
      <w:r w:rsidR="00984EE9" w:rsidRPr="007D4DDF">
        <w:rPr>
          <w:szCs w:val="24"/>
        </w:rPr>
        <w:t>consumer-</w:t>
      </w:r>
      <w:r w:rsidR="00D73848" w:rsidRPr="007D4DDF">
        <w:rPr>
          <w:szCs w:val="24"/>
        </w:rPr>
        <w:t>oriented mortgage market</w:t>
      </w:r>
      <w:r w:rsidR="007F5348" w:rsidRPr="007D4DDF">
        <w:rPr>
          <w:szCs w:val="24"/>
        </w:rPr>
        <w:t>,</w:t>
      </w:r>
      <w:r w:rsidR="00D73848" w:rsidRPr="007D4DDF">
        <w:rPr>
          <w:szCs w:val="24"/>
        </w:rPr>
        <w:t xml:space="preserve"> as well as</w:t>
      </w:r>
      <w:r w:rsidR="00984EE9" w:rsidRPr="007D4DDF">
        <w:rPr>
          <w:szCs w:val="24"/>
        </w:rPr>
        <w:t xml:space="preserve"> a</w:t>
      </w:r>
      <w:r w:rsidR="00D73848" w:rsidRPr="007D4DDF">
        <w:rPr>
          <w:szCs w:val="24"/>
        </w:rPr>
        <w:t xml:space="preserve"> more coherent mortgage arrears process across EU Member States. </w:t>
      </w:r>
      <w:r w:rsidR="00D73848" w:rsidRPr="007D4DDF">
        <w:rPr>
          <w:color w:val="000000"/>
          <w:szCs w:val="24"/>
        </w:rPr>
        <w:t xml:space="preserve">The treatment of mortgages </w:t>
      </w:r>
      <w:r w:rsidR="00984EE9" w:rsidRPr="007D4DDF">
        <w:rPr>
          <w:color w:val="000000"/>
          <w:szCs w:val="24"/>
        </w:rPr>
        <w:t xml:space="preserve">as </w:t>
      </w:r>
      <w:r w:rsidR="00D73848" w:rsidRPr="007D4DDF">
        <w:rPr>
          <w:color w:val="000000"/>
          <w:szCs w:val="24"/>
        </w:rPr>
        <w:t>consumer contract</w:t>
      </w:r>
      <w:r w:rsidR="00984EE9" w:rsidRPr="007D4DDF">
        <w:rPr>
          <w:color w:val="000000"/>
          <w:szCs w:val="24"/>
        </w:rPr>
        <w:t>s</w:t>
      </w:r>
      <w:r w:rsidR="00D73848" w:rsidRPr="007D4DDF">
        <w:rPr>
          <w:color w:val="000000"/>
          <w:szCs w:val="24"/>
        </w:rPr>
        <w:t xml:space="preserve"> by the CJEU has the potential to radically improve the rights of home loan borrowers in the EU context. The emerging trend is a closer link between mortgage law, consumer law and human rights, through the </w:t>
      </w:r>
      <w:r w:rsidR="00984EE9" w:rsidRPr="007D4DDF">
        <w:rPr>
          <w:color w:val="000000"/>
          <w:szCs w:val="24"/>
        </w:rPr>
        <w:t xml:space="preserve">nexus between all three areas provided by the </w:t>
      </w:r>
      <w:r w:rsidR="00D73848" w:rsidRPr="007D4DDF">
        <w:rPr>
          <w:color w:val="000000"/>
          <w:szCs w:val="24"/>
        </w:rPr>
        <w:t>Unfair Contract Terms Directive.</w:t>
      </w:r>
      <w:r w:rsidR="00A763D8" w:rsidRPr="007D4DDF">
        <w:rPr>
          <w:rStyle w:val="FootnoteReference"/>
          <w:color w:val="000000"/>
          <w:szCs w:val="24"/>
        </w:rPr>
        <w:footnoteReference w:id="173"/>
      </w:r>
      <w:r w:rsidR="00035758" w:rsidRPr="007D4DDF">
        <w:rPr>
          <w:color w:val="000000"/>
          <w:szCs w:val="24"/>
        </w:rPr>
        <w:t xml:space="preserve"> </w:t>
      </w:r>
      <w:r w:rsidR="00134EBB" w:rsidRPr="007D4DDF">
        <w:rPr>
          <w:color w:val="000000"/>
          <w:szCs w:val="24"/>
        </w:rPr>
        <w:t xml:space="preserve">It is perhaps useful to view mortgage contracts and tenancy contracts more as </w:t>
      </w:r>
      <w:proofErr w:type="gramStart"/>
      <w:r w:rsidR="00134EBB" w:rsidRPr="007D4DDF">
        <w:rPr>
          <w:color w:val="000000"/>
          <w:szCs w:val="24"/>
        </w:rPr>
        <w:t>Life Time</w:t>
      </w:r>
      <w:proofErr w:type="gramEnd"/>
      <w:r w:rsidR="00134EBB" w:rsidRPr="007D4DDF">
        <w:rPr>
          <w:color w:val="000000"/>
          <w:szCs w:val="24"/>
        </w:rPr>
        <w:t xml:space="preserve"> Contracts which provide the necessities for living, rather than a purely commercial contract.</w:t>
      </w:r>
      <w:r w:rsidR="005043B0" w:rsidRPr="007D4DDF">
        <w:rPr>
          <w:rStyle w:val="FootnoteReference"/>
          <w:color w:val="000000"/>
          <w:szCs w:val="24"/>
        </w:rPr>
        <w:footnoteReference w:id="174"/>
      </w:r>
    </w:p>
    <w:p w14:paraId="01E49CD0" w14:textId="77777777" w:rsidR="00134EBB" w:rsidRPr="007D4DDF" w:rsidRDefault="00134EBB" w:rsidP="00777703">
      <w:pPr>
        <w:spacing w:before="0" w:after="120" w:line="240" w:lineRule="auto"/>
        <w:rPr>
          <w:color w:val="000000"/>
          <w:szCs w:val="24"/>
        </w:rPr>
      </w:pPr>
      <w:r w:rsidRPr="007D4DDF">
        <w:rPr>
          <w:color w:val="000000"/>
          <w:szCs w:val="24"/>
        </w:rPr>
        <w:t xml:space="preserve">As </w:t>
      </w:r>
      <w:proofErr w:type="spellStart"/>
      <w:r w:rsidRPr="007D4DDF">
        <w:rPr>
          <w:color w:val="000000"/>
          <w:szCs w:val="24"/>
        </w:rPr>
        <w:t>Nogler</w:t>
      </w:r>
      <w:proofErr w:type="spellEnd"/>
      <w:r w:rsidRPr="007D4DDF">
        <w:rPr>
          <w:color w:val="000000"/>
          <w:szCs w:val="24"/>
        </w:rPr>
        <w:t xml:space="preserve"> and </w:t>
      </w:r>
      <w:proofErr w:type="spellStart"/>
      <w:r w:rsidRPr="007D4DDF">
        <w:rPr>
          <w:color w:val="000000"/>
          <w:szCs w:val="24"/>
        </w:rPr>
        <w:t>Reifner</w:t>
      </w:r>
      <w:proofErr w:type="spellEnd"/>
      <w:r w:rsidRPr="007D4DDF">
        <w:rPr>
          <w:color w:val="000000"/>
          <w:szCs w:val="24"/>
        </w:rPr>
        <w:t xml:space="preserve"> point out: </w:t>
      </w:r>
    </w:p>
    <w:p w14:paraId="3A608D36" w14:textId="2F71A091" w:rsidR="004045C2" w:rsidRPr="007D4DDF" w:rsidRDefault="004045C2" w:rsidP="00777703">
      <w:pPr>
        <w:spacing w:before="0" w:after="120" w:line="240" w:lineRule="auto"/>
        <w:ind w:left="720"/>
        <w:rPr>
          <w:color w:val="000000"/>
          <w:szCs w:val="24"/>
        </w:rPr>
      </w:pPr>
      <w:r w:rsidRPr="007D4DDF">
        <w:rPr>
          <w:color w:val="000000"/>
          <w:sz w:val="22"/>
        </w:rPr>
        <w:lastRenderedPageBreak/>
        <w:t>At the heart of this class of contracts there is an individual human being, with his or her physiological and ethical requirement, in terms of security, belonging, success and self –</w:t>
      </w:r>
      <w:r w:rsidR="00970187" w:rsidRPr="007D4DDF">
        <w:rPr>
          <w:color w:val="000000"/>
          <w:sz w:val="22"/>
        </w:rPr>
        <w:t xml:space="preserve"> </w:t>
      </w:r>
      <w:proofErr w:type="spellStart"/>
      <w:r w:rsidRPr="007D4DDF">
        <w:rPr>
          <w:color w:val="000000"/>
          <w:sz w:val="22"/>
        </w:rPr>
        <w:t>fulfillment</w:t>
      </w:r>
      <w:proofErr w:type="spellEnd"/>
      <w:r w:rsidRPr="007D4DDF">
        <w:rPr>
          <w:color w:val="000000"/>
          <w:sz w:val="22"/>
        </w:rPr>
        <w:t xml:space="preserve"> in other words the existential need to be able to enjoy essential goods (</w:t>
      </w:r>
      <w:proofErr w:type="spellStart"/>
      <w:r w:rsidRPr="007D4DDF">
        <w:rPr>
          <w:i/>
          <w:color w:val="000000"/>
          <w:sz w:val="22"/>
        </w:rPr>
        <w:t>lebenswichtige</w:t>
      </w:r>
      <w:proofErr w:type="spellEnd"/>
      <w:r w:rsidRPr="007D4DDF">
        <w:rPr>
          <w:i/>
          <w:color w:val="000000"/>
          <w:sz w:val="22"/>
        </w:rPr>
        <w:t xml:space="preserve"> </w:t>
      </w:r>
      <w:proofErr w:type="spellStart"/>
      <w:r w:rsidRPr="007D4DDF">
        <w:rPr>
          <w:i/>
          <w:color w:val="000000"/>
          <w:sz w:val="22"/>
        </w:rPr>
        <w:t>Güter</w:t>
      </w:r>
      <w:proofErr w:type="spellEnd"/>
      <w:r w:rsidRPr="007D4DDF">
        <w:rPr>
          <w:i/>
          <w:color w:val="000000"/>
          <w:sz w:val="22"/>
        </w:rPr>
        <w:t xml:space="preserve">), </w:t>
      </w:r>
      <w:r w:rsidRPr="007D4DDF">
        <w:rPr>
          <w:color w:val="000000"/>
          <w:sz w:val="22"/>
        </w:rPr>
        <w:t>services, labour opportunities</w:t>
      </w:r>
      <w:r w:rsidR="00970187" w:rsidRPr="007D4DDF">
        <w:rPr>
          <w:color w:val="000000"/>
          <w:sz w:val="22"/>
        </w:rPr>
        <w:t xml:space="preserve"> </w:t>
      </w:r>
      <w:r w:rsidRPr="007D4DDF">
        <w:rPr>
          <w:color w:val="000000"/>
          <w:sz w:val="22"/>
        </w:rPr>
        <w:t>and income opportunities. Satisfaction of such needs is normally an essential pre-condition for the pursuit of a happy life, or self-realization and participation.</w:t>
      </w:r>
      <w:r w:rsidRPr="007D4DDF">
        <w:rPr>
          <w:rStyle w:val="FootnoteReference"/>
          <w:color w:val="000000"/>
          <w:szCs w:val="24"/>
        </w:rPr>
        <w:footnoteReference w:id="175"/>
      </w:r>
    </w:p>
    <w:p w14:paraId="0839DAB3" w14:textId="35299BD4" w:rsidR="006E160F" w:rsidRPr="008B1CB3" w:rsidRDefault="004045C2" w:rsidP="00777703">
      <w:pPr>
        <w:spacing w:before="0" w:after="120" w:line="240" w:lineRule="auto"/>
        <w:rPr>
          <w:rFonts w:eastAsia="Gill Sans Light"/>
          <w:szCs w:val="24"/>
        </w:rPr>
      </w:pPr>
      <w:r w:rsidRPr="007D4DDF">
        <w:rPr>
          <w:rFonts w:eastAsia="Gill Sans Light"/>
          <w:szCs w:val="24"/>
        </w:rPr>
        <w:t xml:space="preserve">Many of these objectives are already included </w:t>
      </w:r>
      <w:r w:rsidR="001D0D17" w:rsidRPr="007D4DDF">
        <w:rPr>
          <w:rFonts w:eastAsia="Gill Sans Light"/>
          <w:szCs w:val="24"/>
        </w:rPr>
        <w:t>within</w:t>
      </w:r>
      <w:r w:rsidR="00F93F8F" w:rsidRPr="007D4DDF">
        <w:rPr>
          <w:rFonts w:eastAsia="Gill Sans Light"/>
          <w:szCs w:val="24"/>
        </w:rPr>
        <w:t xml:space="preserve"> </w:t>
      </w:r>
      <w:r w:rsidRPr="007D4DDF">
        <w:rPr>
          <w:rFonts w:eastAsia="Gill Sans Light"/>
          <w:szCs w:val="24"/>
        </w:rPr>
        <w:t xml:space="preserve">human rights instruments in Europe, </w:t>
      </w:r>
      <w:proofErr w:type="gramStart"/>
      <w:r w:rsidRPr="007D4DDF">
        <w:rPr>
          <w:rFonts w:eastAsia="Gill Sans Light"/>
          <w:szCs w:val="24"/>
        </w:rPr>
        <w:t>yet,</w:t>
      </w:r>
      <w:proofErr w:type="gramEnd"/>
      <w:r w:rsidRPr="007D4DDF">
        <w:rPr>
          <w:rFonts w:eastAsia="Gill Sans Light"/>
          <w:szCs w:val="24"/>
        </w:rPr>
        <w:t xml:space="preserve"> </w:t>
      </w:r>
      <w:r w:rsidR="00D73848" w:rsidRPr="007D4DDF">
        <w:rPr>
          <w:rFonts w:eastAsia="Gill Sans Light"/>
          <w:szCs w:val="24"/>
        </w:rPr>
        <w:t xml:space="preserve">there seems to be little interaction between countries in the implementation of </w:t>
      </w:r>
      <w:r w:rsidRPr="007D4DDF">
        <w:rPr>
          <w:rFonts w:eastAsia="Gill Sans Light"/>
          <w:szCs w:val="24"/>
        </w:rPr>
        <w:t xml:space="preserve">these </w:t>
      </w:r>
      <w:r w:rsidR="00D73848" w:rsidRPr="007D4DDF">
        <w:rPr>
          <w:rFonts w:eastAsia="Gill Sans Light"/>
          <w:szCs w:val="24"/>
        </w:rPr>
        <w:t xml:space="preserve">human rights norms, good practices or </w:t>
      </w:r>
      <w:r w:rsidR="00A30391" w:rsidRPr="007D4DDF">
        <w:rPr>
          <w:rFonts w:eastAsia="Gill Sans Light"/>
          <w:szCs w:val="24"/>
        </w:rPr>
        <w:t>better</w:t>
      </w:r>
      <w:r w:rsidR="00D73848" w:rsidRPr="007D4DDF">
        <w:rPr>
          <w:rFonts w:eastAsia="Gill Sans Light"/>
          <w:szCs w:val="24"/>
        </w:rPr>
        <w:t xml:space="preserve"> policies on evictions</w:t>
      </w:r>
      <w:r w:rsidR="008160E1" w:rsidRPr="007D4DDF">
        <w:rPr>
          <w:rFonts w:eastAsia="Gill Sans Light"/>
          <w:szCs w:val="24"/>
        </w:rPr>
        <w:t xml:space="preserve">. There is </w:t>
      </w:r>
      <w:r w:rsidR="00747378" w:rsidRPr="007D4DDF">
        <w:rPr>
          <w:rFonts w:eastAsia="Gill Sans Light"/>
          <w:szCs w:val="24"/>
        </w:rPr>
        <w:t xml:space="preserve">a </w:t>
      </w:r>
      <w:r w:rsidR="008160E1" w:rsidRPr="007D4DDF">
        <w:rPr>
          <w:rFonts w:eastAsia="Gill Sans Light"/>
          <w:szCs w:val="24"/>
        </w:rPr>
        <w:t>g</w:t>
      </w:r>
      <w:r w:rsidR="00D73848" w:rsidRPr="007D4DDF">
        <w:rPr>
          <w:rFonts w:eastAsia="Gill Sans Light"/>
          <w:szCs w:val="24"/>
        </w:rPr>
        <w:t xml:space="preserve">reat </w:t>
      </w:r>
      <w:r w:rsidR="008160E1" w:rsidRPr="007D4DDF">
        <w:rPr>
          <w:rFonts w:eastAsia="Gill Sans Light"/>
          <w:szCs w:val="24"/>
        </w:rPr>
        <w:t xml:space="preserve">need </w:t>
      </w:r>
      <w:r w:rsidR="00D73848" w:rsidRPr="007D4DDF">
        <w:rPr>
          <w:rFonts w:eastAsia="Gill Sans Light"/>
          <w:szCs w:val="24"/>
        </w:rPr>
        <w:t xml:space="preserve">for a European Open Method of </w:t>
      </w:r>
      <w:r w:rsidR="00747378" w:rsidRPr="007D4DDF">
        <w:rPr>
          <w:rFonts w:eastAsia="Gill Sans Light"/>
          <w:szCs w:val="24"/>
        </w:rPr>
        <w:t>Coordination-</w:t>
      </w:r>
      <w:r w:rsidR="00A30391" w:rsidRPr="007D4DDF">
        <w:rPr>
          <w:rFonts w:eastAsia="Gill Sans Light"/>
          <w:szCs w:val="24"/>
        </w:rPr>
        <w:t>type</w:t>
      </w:r>
      <w:r w:rsidR="008160E1" w:rsidRPr="007D4DDF">
        <w:rPr>
          <w:rFonts w:eastAsia="Gill Sans Light"/>
          <w:szCs w:val="24"/>
        </w:rPr>
        <w:t xml:space="preserve"> approach, </w:t>
      </w:r>
      <w:r w:rsidR="00D73848" w:rsidRPr="007D4DDF">
        <w:rPr>
          <w:rFonts w:eastAsia="Gill Sans Light"/>
          <w:szCs w:val="24"/>
        </w:rPr>
        <w:t>similar to that suggested in relation to rented housing by Christop</w:t>
      </w:r>
      <w:r w:rsidR="005E3E99" w:rsidRPr="007D4DDF">
        <w:rPr>
          <w:rFonts w:eastAsia="Gill Sans Light"/>
          <w:szCs w:val="24"/>
        </w:rPr>
        <w:t>h</w:t>
      </w:r>
      <w:r w:rsidR="00D73848" w:rsidRPr="007D4DDF">
        <w:rPr>
          <w:rFonts w:eastAsia="Gill Sans Light"/>
          <w:szCs w:val="24"/>
        </w:rPr>
        <w:t xml:space="preserve"> Schmid in </w:t>
      </w:r>
      <w:r w:rsidR="00747378" w:rsidRPr="007D4DDF">
        <w:rPr>
          <w:rFonts w:eastAsia="Gill Sans Light"/>
          <w:szCs w:val="24"/>
        </w:rPr>
        <w:t xml:space="preserve">his </w:t>
      </w:r>
      <w:r w:rsidR="00D73848" w:rsidRPr="007D4DDF">
        <w:rPr>
          <w:rFonts w:eastAsia="Gill Sans Light"/>
          <w:szCs w:val="24"/>
        </w:rPr>
        <w:t xml:space="preserve">book on </w:t>
      </w:r>
      <w:r w:rsidR="00AA647A" w:rsidRPr="007D4DDF">
        <w:rPr>
          <w:rFonts w:eastAsia="Gill Sans Light"/>
          <w:szCs w:val="24"/>
        </w:rPr>
        <w:t>tenancy law in Europe.</w:t>
      </w:r>
      <w:r w:rsidR="00AA647A" w:rsidRPr="007D4DDF">
        <w:rPr>
          <w:rStyle w:val="FootnoteReference"/>
          <w:rFonts w:eastAsia="Gill Sans Light"/>
          <w:szCs w:val="24"/>
        </w:rPr>
        <w:footnoteReference w:id="176"/>
      </w:r>
      <w:r w:rsidR="00AA647A" w:rsidRPr="007D4DDF">
        <w:rPr>
          <w:rFonts w:eastAsia="Gill Sans Light"/>
          <w:szCs w:val="24"/>
        </w:rPr>
        <w:t xml:space="preserve"> This would involve a process similar to the Open Method of Coordination advanced by the European Commission in key areas of social policy, whereby comparative data is collated across Europe and best practices are promoted.</w:t>
      </w:r>
      <w:r w:rsidR="00AA647A" w:rsidRPr="007D4DDF">
        <w:rPr>
          <w:rStyle w:val="FootnoteReference"/>
          <w:rFonts w:eastAsia="Gill Sans Light"/>
          <w:szCs w:val="24"/>
        </w:rPr>
        <w:footnoteReference w:id="177"/>
      </w:r>
      <w:r w:rsidR="00035758" w:rsidRPr="007D4DDF">
        <w:rPr>
          <w:rFonts w:eastAsia="Gill Sans Light"/>
          <w:szCs w:val="24"/>
        </w:rPr>
        <w:t xml:space="preserve"> </w:t>
      </w:r>
      <w:r w:rsidR="008160E1" w:rsidRPr="007D4DDF">
        <w:rPr>
          <w:rFonts w:eastAsia="Gill Sans Light"/>
          <w:szCs w:val="24"/>
        </w:rPr>
        <w:t>However, evictions raise important human rights issues</w:t>
      </w:r>
      <w:r w:rsidR="00AA647A" w:rsidRPr="007D4DDF">
        <w:rPr>
          <w:rFonts w:eastAsia="Gill Sans Light"/>
          <w:szCs w:val="24"/>
        </w:rPr>
        <w:t>,</w:t>
      </w:r>
      <w:r w:rsidR="008160E1" w:rsidRPr="007D4DDF">
        <w:rPr>
          <w:rFonts w:eastAsia="Gill Sans Light"/>
          <w:szCs w:val="24"/>
        </w:rPr>
        <w:t xml:space="preserve"> which go to the core of civili</w:t>
      </w:r>
      <w:r w:rsidR="009134ED">
        <w:rPr>
          <w:rFonts w:eastAsia="Gill Sans Light"/>
          <w:szCs w:val="24"/>
        </w:rPr>
        <w:t>z</w:t>
      </w:r>
      <w:r w:rsidR="008160E1" w:rsidRPr="007D4DDF">
        <w:rPr>
          <w:rFonts w:eastAsia="Gill Sans Light"/>
          <w:szCs w:val="24"/>
        </w:rPr>
        <w:t>ed societies</w:t>
      </w:r>
      <w:r w:rsidR="00C30166" w:rsidRPr="007D4DDF">
        <w:rPr>
          <w:rFonts w:eastAsia="Gill Sans Light"/>
          <w:szCs w:val="24"/>
        </w:rPr>
        <w:t xml:space="preserve"> and the mainstreaming of eviction preventative measures with budgetary and policy instruments represents an innovative approach.</w:t>
      </w:r>
      <w:r w:rsidR="008160E1" w:rsidRPr="007D4DDF">
        <w:rPr>
          <w:rFonts w:eastAsia="Gill Sans Light"/>
          <w:szCs w:val="24"/>
        </w:rPr>
        <w:t xml:space="preserve"> </w:t>
      </w:r>
      <w:r w:rsidR="004F5CDD" w:rsidRPr="007D4DDF">
        <w:rPr>
          <w:rFonts w:eastAsia="Gill Sans Light"/>
          <w:szCs w:val="24"/>
        </w:rPr>
        <w:t>In this context</w:t>
      </w:r>
      <w:r w:rsidR="00A97467" w:rsidRPr="007D4DDF">
        <w:rPr>
          <w:rFonts w:eastAsia="Gill Sans Light"/>
          <w:szCs w:val="24"/>
        </w:rPr>
        <w:t>,</w:t>
      </w:r>
      <w:r w:rsidR="004F5CDD" w:rsidRPr="007D4DDF">
        <w:rPr>
          <w:rFonts w:eastAsia="Gill Sans Light"/>
          <w:szCs w:val="24"/>
        </w:rPr>
        <w:t xml:space="preserve"> the UN report on European Added Value (2018)</w:t>
      </w:r>
      <w:r w:rsidR="004F5CDD" w:rsidRPr="007D4DDF">
        <w:rPr>
          <w:rStyle w:val="FootnoteReference"/>
          <w:rFonts w:eastAsia="Gill Sans Light"/>
          <w:szCs w:val="24"/>
        </w:rPr>
        <w:footnoteReference w:id="178"/>
      </w:r>
      <w:r w:rsidR="00C30166" w:rsidRPr="007D4DDF">
        <w:rPr>
          <w:rFonts w:eastAsia="Gill Sans Light"/>
          <w:szCs w:val="24"/>
        </w:rPr>
        <w:t xml:space="preserve"> has set out a set of recommendations </w:t>
      </w:r>
      <w:r w:rsidR="00E67E6A" w:rsidRPr="007D4DDF">
        <w:rPr>
          <w:rFonts w:eastAsia="Gill Sans Light"/>
          <w:szCs w:val="24"/>
        </w:rPr>
        <w:t xml:space="preserve">on combatting forced evictions and ending homelessness, </w:t>
      </w:r>
      <w:r w:rsidR="001F5DA4" w:rsidRPr="007D4DDF">
        <w:rPr>
          <w:rFonts w:eastAsia="Gill Sans Light"/>
          <w:szCs w:val="24"/>
        </w:rPr>
        <w:t xml:space="preserve">which should apply to the </w:t>
      </w:r>
      <w:r w:rsidR="00C30166" w:rsidRPr="006E160F">
        <w:rPr>
          <w:rFonts w:eastAsia="Gill Sans Light"/>
          <w:szCs w:val="24"/>
        </w:rPr>
        <w:t>Multi</w:t>
      </w:r>
      <w:r w:rsidR="00363E64" w:rsidRPr="006E160F">
        <w:rPr>
          <w:rFonts w:eastAsia="Gill Sans Light"/>
          <w:szCs w:val="24"/>
        </w:rPr>
        <w:t>a</w:t>
      </w:r>
      <w:r w:rsidR="00C30166" w:rsidRPr="006E160F">
        <w:rPr>
          <w:rFonts w:eastAsia="Gill Sans Light"/>
          <w:szCs w:val="24"/>
        </w:rPr>
        <w:t xml:space="preserve">nnual </w:t>
      </w:r>
      <w:r w:rsidR="00363E64" w:rsidRPr="000733FD">
        <w:rPr>
          <w:rFonts w:eastAsia="Gill Sans Light"/>
          <w:szCs w:val="24"/>
        </w:rPr>
        <w:t xml:space="preserve">Financial </w:t>
      </w:r>
      <w:r w:rsidR="00C30166" w:rsidRPr="008B1CB3">
        <w:rPr>
          <w:rFonts w:eastAsia="Gill Sans Light"/>
          <w:szCs w:val="24"/>
        </w:rPr>
        <w:t xml:space="preserve">Framework </w:t>
      </w:r>
      <w:r w:rsidR="00E67E6A" w:rsidRPr="008B1CB3">
        <w:rPr>
          <w:rFonts w:eastAsia="Gill Sans Light"/>
          <w:szCs w:val="24"/>
        </w:rPr>
        <w:t xml:space="preserve">(MFF) </w:t>
      </w:r>
      <w:r w:rsidR="00C30166" w:rsidRPr="008B1CB3">
        <w:rPr>
          <w:rFonts w:eastAsia="Gill Sans Light"/>
          <w:szCs w:val="24"/>
        </w:rPr>
        <w:t>of the EU budget from 2020.</w:t>
      </w:r>
      <w:r w:rsidR="00E67E6A" w:rsidRPr="008B1CB3">
        <w:rPr>
          <w:rFonts w:eastAsia="Gill Sans Light"/>
          <w:szCs w:val="24"/>
        </w:rPr>
        <w:t xml:space="preserve"> These are: </w:t>
      </w:r>
    </w:p>
    <w:p w14:paraId="54B328CD" w14:textId="77777777" w:rsidR="006E160F" w:rsidRDefault="006E160F" w:rsidP="006E160F">
      <w:pPr>
        <w:pStyle w:val="ListParagraph"/>
        <w:ind w:left="0"/>
        <w:rPr>
          <w:rFonts w:ascii="Times New Roman" w:eastAsia="MS Mincho" w:hAnsi="Times New Roman"/>
          <w:lang w:eastAsia="ja-JP"/>
        </w:rPr>
      </w:pPr>
    </w:p>
    <w:p w14:paraId="7B3FC632" w14:textId="30B3718B" w:rsidR="006E160F" w:rsidRPr="008B1CB3" w:rsidRDefault="004F5CDD" w:rsidP="008B1CB3">
      <w:pPr>
        <w:pStyle w:val="ListParagraph"/>
        <w:rPr>
          <w:rFonts w:ascii="Times New Roman" w:eastAsia="MS Mincho" w:hAnsi="Times New Roman"/>
          <w:lang w:eastAsia="ja-JP"/>
        </w:rPr>
      </w:pPr>
      <w:r w:rsidRPr="008B1CB3">
        <w:rPr>
          <w:rFonts w:ascii="Times New Roman" w:eastAsia="MS Mincho" w:hAnsi="Times New Roman"/>
          <w:lang w:eastAsia="ja-JP"/>
        </w:rPr>
        <w:t xml:space="preserve">The MFF should explicitly </w:t>
      </w:r>
      <w:r w:rsidR="009134ED" w:rsidRPr="008B1CB3">
        <w:rPr>
          <w:rFonts w:ascii="Times New Roman" w:eastAsia="MS Mincho" w:hAnsi="Times New Roman"/>
          <w:lang w:eastAsia="ja-JP"/>
        </w:rPr>
        <w:t xml:space="preserve">recognize </w:t>
      </w:r>
      <w:r w:rsidRPr="008B1CB3">
        <w:rPr>
          <w:rFonts w:ascii="Times New Roman" w:eastAsia="MS Mincho" w:hAnsi="Times New Roman"/>
          <w:lang w:eastAsia="ja-JP"/>
        </w:rPr>
        <w:t>the principle that the EU budget must contribute to the advancement of security of tenure and the right to adequate housing more broadly.</w:t>
      </w:r>
    </w:p>
    <w:p w14:paraId="5E8609FD" w14:textId="3BA1E593" w:rsidR="001428F5" w:rsidRPr="008B1CB3" w:rsidRDefault="004F5CDD" w:rsidP="008B1CB3">
      <w:pPr>
        <w:pStyle w:val="ListParagraph"/>
        <w:rPr>
          <w:rFonts w:ascii="Times New Roman" w:hAnsi="Times New Roman"/>
        </w:rPr>
      </w:pPr>
      <w:r w:rsidRPr="008B1CB3">
        <w:rPr>
          <w:rFonts w:ascii="Times New Roman" w:hAnsi="Times New Roman"/>
        </w:rPr>
        <w:t>The MFF should support the use of EU funds for actions that advance the implementation of policies for reali</w:t>
      </w:r>
      <w:r w:rsidR="008368DB" w:rsidRPr="008B1CB3">
        <w:rPr>
          <w:rFonts w:ascii="Times New Roman" w:hAnsi="Times New Roman"/>
        </w:rPr>
        <w:t>s</w:t>
      </w:r>
      <w:r w:rsidRPr="008B1CB3">
        <w:rPr>
          <w:rFonts w:ascii="Times New Roman" w:hAnsi="Times New Roman"/>
        </w:rPr>
        <w:t xml:space="preserve">ing the right to adequate housing. </w:t>
      </w:r>
    </w:p>
    <w:p w14:paraId="760039FE" w14:textId="4CF10641" w:rsidR="00A97467" w:rsidRPr="008B1CB3" w:rsidRDefault="004F5CDD" w:rsidP="008B1CB3">
      <w:pPr>
        <w:pStyle w:val="ListParagraph"/>
        <w:rPr>
          <w:rFonts w:ascii="Times New Roman" w:hAnsi="Times New Roman"/>
        </w:rPr>
      </w:pPr>
      <w:r w:rsidRPr="008B1CB3">
        <w:rPr>
          <w:rFonts w:ascii="Times New Roman" w:hAnsi="Times New Roman"/>
        </w:rPr>
        <w:t>The MFF should fund the advancement of alternative accommodation to ensure that evictions do not result in households being rendered homeless or vulnerable to the violation of other human rights.</w:t>
      </w:r>
    </w:p>
    <w:p w14:paraId="01BDC7CD" w14:textId="0E8AE65F" w:rsidR="004F5CDD" w:rsidRPr="008B1CB3" w:rsidRDefault="004F5CDD" w:rsidP="008B1CB3">
      <w:pPr>
        <w:pStyle w:val="ColourfulListAccent11"/>
        <w:widowControl w:val="0"/>
        <w:autoSpaceDE w:val="0"/>
        <w:autoSpaceDN w:val="0"/>
        <w:adjustRightInd w:val="0"/>
        <w:spacing w:before="0" w:after="120" w:line="240" w:lineRule="auto"/>
        <w:rPr>
          <w:rFonts w:eastAsia="Gill Sans Light"/>
          <w:szCs w:val="24"/>
        </w:rPr>
      </w:pPr>
      <w:r w:rsidRPr="008B1CB3">
        <w:rPr>
          <w:rFonts w:eastAsia="MS Mincho"/>
          <w:color w:val="000000"/>
          <w:szCs w:val="24"/>
          <w:lang w:eastAsia="ja-JP"/>
        </w:rPr>
        <w:t xml:space="preserve">The MFF should fund initiatives aimed at overcoming shortages of social </w:t>
      </w:r>
      <w:r w:rsidRPr="008B1CB3">
        <w:rPr>
          <w:rFonts w:eastAsia="MS Mincho"/>
          <w:color w:val="000000"/>
          <w:szCs w:val="24"/>
          <w:lang w:eastAsia="ja-JP"/>
        </w:rPr>
        <w:lastRenderedPageBreak/>
        <w:t>housing and advance affordable housing, as well as ending homelessness</w:t>
      </w:r>
      <w:r w:rsidR="00E67E6A" w:rsidRPr="008B1CB3">
        <w:rPr>
          <w:rFonts w:eastAsia="MS Mincho"/>
          <w:color w:val="000000"/>
          <w:szCs w:val="24"/>
          <w:lang w:eastAsia="ja-JP"/>
        </w:rPr>
        <w:t>.</w:t>
      </w:r>
    </w:p>
    <w:p w14:paraId="68A6C721" w14:textId="77777777" w:rsidR="001A4592" w:rsidRPr="007D4DDF" w:rsidRDefault="008160E1" w:rsidP="00395E14">
      <w:pPr>
        <w:spacing w:before="0" w:after="120" w:line="240" w:lineRule="auto"/>
        <w:rPr>
          <w:szCs w:val="24"/>
        </w:rPr>
      </w:pPr>
      <w:r w:rsidRPr="007D4DDF">
        <w:rPr>
          <w:rFonts w:eastAsia="Gill Sans Light"/>
          <w:szCs w:val="24"/>
        </w:rPr>
        <w:t>The development and implementation of housing rights norms</w:t>
      </w:r>
      <w:r w:rsidR="00E67E6A" w:rsidRPr="007D4DDF">
        <w:rPr>
          <w:rFonts w:eastAsia="Gill Sans Light"/>
          <w:szCs w:val="24"/>
        </w:rPr>
        <w:t>, on adequate housing and prevention of evictions</w:t>
      </w:r>
      <w:r w:rsidRPr="007D4DDF">
        <w:rPr>
          <w:rFonts w:eastAsia="Gill Sans Light"/>
          <w:szCs w:val="24"/>
        </w:rPr>
        <w:t xml:space="preserve"> across Europe compares poorly with the </w:t>
      </w:r>
      <w:r w:rsidR="00942054" w:rsidRPr="007D4DDF">
        <w:rPr>
          <w:rFonts w:eastAsia="Gill Sans Light"/>
          <w:szCs w:val="24"/>
        </w:rPr>
        <w:t>position of national property law</w:t>
      </w:r>
      <w:r w:rsidR="00E67E6A" w:rsidRPr="007D4DDF">
        <w:rPr>
          <w:rFonts w:eastAsia="Gill Sans Light"/>
          <w:szCs w:val="24"/>
        </w:rPr>
        <w:t>,</w:t>
      </w:r>
      <w:r w:rsidR="00942054" w:rsidRPr="007D4DDF">
        <w:rPr>
          <w:rFonts w:eastAsia="Gill Sans Light"/>
          <w:szCs w:val="24"/>
        </w:rPr>
        <w:t xml:space="preserve"> and </w:t>
      </w:r>
      <w:r w:rsidRPr="007D4DDF">
        <w:rPr>
          <w:rFonts w:eastAsia="Gill Sans Light"/>
          <w:szCs w:val="24"/>
        </w:rPr>
        <w:t>ECB directions to lenders on non</w:t>
      </w:r>
      <w:r w:rsidR="00942054" w:rsidRPr="007D4DDF">
        <w:rPr>
          <w:rFonts w:eastAsia="Gill Sans Light"/>
          <w:szCs w:val="24"/>
        </w:rPr>
        <w:t>-</w:t>
      </w:r>
      <w:r w:rsidRPr="007D4DDF">
        <w:rPr>
          <w:rFonts w:eastAsia="Gill Sans Light"/>
          <w:szCs w:val="24"/>
        </w:rPr>
        <w:t>performing loans</w:t>
      </w:r>
      <w:r w:rsidR="00E67E6A" w:rsidRPr="007D4DDF">
        <w:rPr>
          <w:rFonts w:eastAsia="Gill Sans Light"/>
          <w:szCs w:val="24"/>
        </w:rPr>
        <w:t>,</w:t>
      </w:r>
      <w:r w:rsidRPr="007D4DDF">
        <w:rPr>
          <w:rFonts w:eastAsia="Gill Sans Light"/>
          <w:szCs w:val="24"/>
        </w:rPr>
        <w:t xml:space="preserve"> encouraging evictions</w:t>
      </w:r>
      <w:r w:rsidR="00AA647A" w:rsidRPr="007D4DDF">
        <w:rPr>
          <w:rFonts w:eastAsia="Gill Sans Light"/>
          <w:szCs w:val="24"/>
        </w:rPr>
        <w:t xml:space="preserve">. There is a major imbalance in </w:t>
      </w:r>
      <w:r w:rsidR="00E67E6A" w:rsidRPr="007D4DDF">
        <w:rPr>
          <w:rFonts w:eastAsia="Gill Sans Light"/>
          <w:szCs w:val="24"/>
        </w:rPr>
        <w:t xml:space="preserve">the </w:t>
      </w:r>
      <w:r w:rsidRPr="007D4DDF">
        <w:rPr>
          <w:rFonts w:eastAsia="Gill Sans Light"/>
          <w:szCs w:val="24"/>
        </w:rPr>
        <w:t xml:space="preserve">national </w:t>
      </w:r>
      <w:r w:rsidR="00AA647A" w:rsidRPr="007D4DDF">
        <w:rPr>
          <w:rFonts w:eastAsia="Gill Sans Light"/>
          <w:szCs w:val="24"/>
        </w:rPr>
        <w:t xml:space="preserve">and </w:t>
      </w:r>
      <w:r w:rsidRPr="007D4DDF">
        <w:rPr>
          <w:rFonts w:eastAsia="Gill Sans Light"/>
          <w:szCs w:val="24"/>
        </w:rPr>
        <w:t>European legal and policy architecture around evictions</w:t>
      </w:r>
      <w:r w:rsidR="00BA556C" w:rsidRPr="007D4DDF">
        <w:rPr>
          <w:rFonts w:eastAsia="Gill Sans Light"/>
          <w:szCs w:val="24"/>
        </w:rPr>
        <w:t xml:space="preserve"> and the position of those who are engaged </w:t>
      </w:r>
      <w:r w:rsidR="00D2407B" w:rsidRPr="007D4DDF">
        <w:rPr>
          <w:rFonts w:eastAsia="Gill Sans Light"/>
          <w:szCs w:val="24"/>
        </w:rPr>
        <w:t>in advocacy</w:t>
      </w:r>
      <w:r w:rsidR="00BA556C" w:rsidRPr="007D4DDF">
        <w:rPr>
          <w:rFonts w:eastAsia="MS Mincho"/>
          <w:color w:val="000000"/>
          <w:szCs w:val="24"/>
          <w:lang w:eastAsia="ja-JP"/>
        </w:rPr>
        <w:t>, litigation, campaigning, human rights and awareness-raising on evictions enjoy very little media recognition.</w:t>
      </w:r>
    </w:p>
    <w:p w14:paraId="61323E04" w14:textId="77777777" w:rsidR="00295FE0" w:rsidRDefault="00C859A0" w:rsidP="00777703">
      <w:pPr>
        <w:spacing w:before="0" w:after="120" w:line="240" w:lineRule="auto"/>
      </w:pPr>
      <w:r>
        <w:t xml:space="preserve">Finally, </w:t>
      </w:r>
      <w:r w:rsidR="008B79C6">
        <w:t>special thanks are due to the v</w:t>
      </w:r>
      <w:r>
        <w:t xml:space="preserve">aluable support of the </w:t>
      </w:r>
      <w:r w:rsidR="00D042E4">
        <w:t xml:space="preserve">Christoph U. Schmid, </w:t>
      </w:r>
      <w:r>
        <w:t>University of Bremen</w:t>
      </w:r>
      <w:r w:rsidR="008B79C6">
        <w:t>,</w:t>
      </w:r>
      <w:r>
        <w:t xml:space="preserve"> </w:t>
      </w:r>
      <w:r w:rsidR="00D042E4">
        <w:t xml:space="preserve">without whose support this book would not have been published, </w:t>
      </w:r>
      <w:r>
        <w:t>and the dedicated work of Dr Ingrid Cunningham in editing drafts of this book</w:t>
      </w:r>
      <w:r w:rsidR="00D042E4">
        <w:t xml:space="preserve">. </w:t>
      </w:r>
    </w:p>
    <w:p w14:paraId="5F82080D" w14:textId="77777777" w:rsidR="00D042E4" w:rsidRDefault="00D042E4" w:rsidP="00777703">
      <w:pPr>
        <w:spacing w:before="0" w:after="120" w:line="240" w:lineRule="auto"/>
      </w:pPr>
    </w:p>
    <w:p w14:paraId="1A7BCA71" w14:textId="77777777" w:rsidR="00295FE0" w:rsidRPr="007D4DDF" w:rsidRDefault="00295FE0" w:rsidP="00777703">
      <w:pPr>
        <w:spacing w:before="0" w:after="120" w:line="240" w:lineRule="auto"/>
      </w:pPr>
      <w:r>
        <w:t>Padraic Kenna</w:t>
      </w:r>
      <w:r w:rsidR="00D042E4">
        <w:t>. Galway,</w:t>
      </w:r>
      <w:r>
        <w:t xml:space="preserve"> September 2018</w:t>
      </w:r>
    </w:p>
    <w:sectPr w:rsidR="00295FE0" w:rsidRPr="007D4DDF" w:rsidSect="007D4DDF">
      <w:headerReference w:type="even" r:id="rId8"/>
      <w:headerReference w:type="default" r:id="rId9"/>
      <w:footerReference w:type="even" r:id="rId10"/>
      <w:footerReference w:type="default" r:id="rId11"/>
      <w:headerReference w:type="first" r:id="rId12"/>
      <w:footerReference w:type="first" r:id="rId13"/>
      <w:pgSz w:w="11900" w:h="16840"/>
      <w:pgMar w:top="1440" w:right="1644"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02057" w14:textId="77777777" w:rsidR="009E4021" w:rsidRDefault="009E4021" w:rsidP="00A84946">
      <w:r>
        <w:separator/>
      </w:r>
    </w:p>
  </w:endnote>
  <w:endnote w:type="continuationSeparator" w:id="0">
    <w:p w14:paraId="5281B2E8" w14:textId="77777777" w:rsidR="009E4021" w:rsidRDefault="009E4021" w:rsidP="00A84946">
      <w:r>
        <w:continuationSeparator/>
      </w:r>
    </w:p>
  </w:endnote>
  <w:endnote w:type="continuationNotice" w:id="1">
    <w:p w14:paraId="64B16C2E" w14:textId="77777777" w:rsidR="009E4021" w:rsidRDefault="009E4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5D53" w14:textId="77777777" w:rsidR="00C859A0" w:rsidRDefault="00C859A0" w:rsidP="00871D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73F03A" w14:textId="77777777" w:rsidR="00C859A0" w:rsidRDefault="00C859A0" w:rsidP="003D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0F09" w14:textId="77777777" w:rsidR="00C859A0" w:rsidRDefault="00C859A0" w:rsidP="00871D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C96">
      <w:rPr>
        <w:rStyle w:val="PageNumber"/>
        <w:noProof/>
      </w:rPr>
      <w:t>19</w:t>
    </w:r>
    <w:r>
      <w:rPr>
        <w:rStyle w:val="PageNumber"/>
      </w:rPr>
      <w:fldChar w:fldCharType="end"/>
    </w:r>
  </w:p>
  <w:p w14:paraId="5350AC8D" w14:textId="77777777" w:rsidR="00C859A0" w:rsidRDefault="00C859A0" w:rsidP="003D14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894A" w14:textId="77777777" w:rsidR="00AF3ACC" w:rsidRDefault="00AF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B6E4" w14:textId="77777777" w:rsidR="009E4021" w:rsidRDefault="009E4021" w:rsidP="00A84946">
      <w:r>
        <w:separator/>
      </w:r>
    </w:p>
  </w:footnote>
  <w:footnote w:type="continuationSeparator" w:id="0">
    <w:p w14:paraId="0BA778BF" w14:textId="77777777" w:rsidR="009E4021" w:rsidRDefault="009E4021" w:rsidP="00A84946">
      <w:r>
        <w:continuationSeparator/>
      </w:r>
    </w:p>
  </w:footnote>
  <w:footnote w:type="continuationNotice" w:id="1">
    <w:p w14:paraId="7057349B" w14:textId="77777777" w:rsidR="009E4021" w:rsidRDefault="009E4021"/>
  </w:footnote>
  <w:footnote w:id="2">
    <w:p w14:paraId="54148917" w14:textId="77777777" w:rsidR="00C859A0" w:rsidRPr="00777703" w:rsidRDefault="00C859A0" w:rsidP="00FB7DCE">
      <w:pPr>
        <w:pStyle w:val="FootnoteText"/>
        <w:spacing w:before="0" w:after="0" w:line="240" w:lineRule="auto"/>
        <w:rPr>
          <w:szCs w:val="20"/>
          <w:lang w:val="en-IE"/>
        </w:rPr>
      </w:pPr>
      <w:r w:rsidRPr="00460766">
        <w:rPr>
          <w:rStyle w:val="FootnoteReference"/>
          <w:szCs w:val="20"/>
          <w:lang w:val="en-IE"/>
        </w:rPr>
        <w:footnoteRef/>
      </w:r>
      <w:r w:rsidRPr="00395E14">
        <w:rPr>
          <w:szCs w:val="20"/>
          <w:lang w:val="en-IE"/>
        </w:rPr>
        <w:t xml:space="preserve"> The need for shelter is recognised as a fundamental need. See AH Maslow, ‘Theory of human motivation’ originally published in (1943) 50 </w:t>
      </w:r>
      <w:r w:rsidRPr="00777703">
        <w:rPr>
          <w:i/>
          <w:iCs/>
          <w:szCs w:val="20"/>
          <w:lang w:val="en-IE"/>
        </w:rPr>
        <w:t>Psychological Review</w:t>
      </w:r>
      <w:r w:rsidRPr="00777703">
        <w:rPr>
          <w:szCs w:val="20"/>
          <w:lang w:val="en-IE"/>
        </w:rPr>
        <w:t xml:space="preserve"> 370–396.</w:t>
      </w:r>
    </w:p>
  </w:footnote>
  <w:footnote w:id="3">
    <w:p w14:paraId="32DC0EA6"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rFonts w:eastAsia="MS Mincho"/>
          <w:szCs w:val="20"/>
          <w:lang w:val="en-IE" w:eastAsia="ja-JP"/>
        </w:rPr>
        <w:t xml:space="preserve"> </w:t>
      </w:r>
      <w:r w:rsidRPr="00395E14">
        <w:rPr>
          <w:rFonts w:eastAsia="MS Mincho"/>
          <w:szCs w:val="20"/>
          <w:lang w:val="en-IE" w:eastAsia="ja-JP"/>
        </w:rPr>
        <w:t>United Nations, Commission on Human Rights, Resolutions 1993/77 and 2004/28.</w:t>
      </w:r>
    </w:p>
  </w:footnote>
  <w:footnote w:id="4">
    <w:p w14:paraId="3F2AC13C"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P </w:t>
      </w:r>
      <w:r w:rsidRPr="00395E14">
        <w:rPr>
          <w:szCs w:val="20"/>
          <w:lang w:val="en-US"/>
        </w:rPr>
        <w:t xml:space="preserve">Kenna, </w:t>
      </w:r>
      <w:r w:rsidRPr="00395E14">
        <w:rPr>
          <w:szCs w:val="20"/>
        </w:rPr>
        <w:t xml:space="preserve">‘Can housing rights be applied to modern housing systems?’ </w:t>
      </w:r>
      <w:r w:rsidRPr="00395E14">
        <w:rPr>
          <w:szCs w:val="20"/>
          <w:lang w:val="en-US"/>
        </w:rPr>
        <w:t xml:space="preserve">(2010) </w:t>
      </w:r>
      <w:r w:rsidRPr="00395E14">
        <w:rPr>
          <w:szCs w:val="20"/>
        </w:rPr>
        <w:t>2</w:t>
      </w:r>
      <w:r w:rsidRPr="00777703">
        <w:rPr>
          <w:szCs w:val="20"/>
        </w:rPr>
        <w:t xml:space="preserve"> </w:t>
      </w:r>
      <w:r w:rsidRPr="00395E14">
        <w:rPr>
          <w:szCs w:val="20"/>
        </w:rPr>
        <w:t xml:space="preserve">(2) </w:t>
      </w:r>
      <w:r w:rsidRPr="00395E14">
        <w:rPr>
          <w:i/>
          <w:szCs w:val="20"/>
        </w:rPr>
        <w:t xml:space="preserve">International Journal of Law in the Built Environment </w:t>
      </w:r>
      <w:r w:rsidRPr="00777703">
        <w:rPr>
          <w:szCs w:val="20"/>
        </w:rPr>
        <w:t>103–117</w:t>
      </w:r>
      <w:r w:rsidRPr="00777703">
        <w:rPr>
          <w:szCs w:val="20"/>
          <w:lang w:val="en-US"/>
        </w:rPr>
        <w:t>.</w:t>
      </w:r>
    </w:p>
  </w:footnote>
  <w:footnote w:id="5">
    <w:p w14:paraId="6643E6D9"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P Kenna, L </w:t>
      </w:r>
      <w:proofErr w:type="spellStart"/>
      <w:r w:rsidRPr="00395E14">
        <w:rPr>
          <w:szCs w:val="20"/>
          <w:lang w:val="en-IE"/>
        </w:rPr>
        <w:t>Benjaminsen</w:t>
      </w:r>
      <w:proofErr w:type="spellEnd"/>
      <w:r w:rsidRPr="00395E14">
        <w:rPr>
          <w:szCs w:val="20"/>
          <w:lang w:val="en-IE"/>
        </w:rPr>
        <w:t>, V Busch-</w:t>
      </w:r>
      <w:proofErr w:type="spellStart"/>
      <w:r w:rsidRPr="00395E14">
        <w:rPr>
          <w:szCs w:val="20"/>
          <w:lang w:val="en-IE"/>
        </w:rPr>
        <w:t>Geertsema</w:t>
      </w:r>
      <w:proofErr w:type="spellEnd"/>
      <w:r w:rsidRPr="00395E14">
        <w:rPr>
          <w:szCs w:val="20"/>
          <w:lang w:val="en-IE"/>
        </w:rPr>
        <w:t xml:space="preserve"> and S </w:t>
      </w:r>
      <w:proofErr w:type="spellStart"/>
      <w:r w:rsidRPr="00395E14">
        <w:rPr>
          <w:szCs w:val="20"/>
          <w:lang w:val="en-IE"/>
        </w:rPr>
        <w:t>Nasarre</w:t>
      </w:r>
      <w:proofErr w:type="spellEnd"/>
      <w:r w:rsidRPr="00395E14">
        <w:rPr>
          <w:szCs w:val="20"/>
          <w:lang w:val="en-IE"/>
        </w:rPr>
        <w:t>-Aznar,</w:t>
      </w:r>
      <w:r w:rsidRPr="00395E14">
        <w:rPr>
          <w:i/>
          <w:szCs w:val="20"/>
          <w:lang w:val="en-IE"/>
        </w:rPr>
        <w:t xml:space="preserve"> Pilot Project – Promoting Protection of the Right to Housing – Homelessness </w:t>
      </w:r>
      <w:r w:rsidRPr="00777703">
        <w:rPr>
          <w:i/>
          <w:szCs w:val="20"/>
          <w:lang w:val="en-IE"/>
        </w:rPr>
        <w:t xml:space="preserve">Prevention in the Context of Evictions </w:t>
      </w:r>
      <w:r w:rsidRPr="00777703">
        <w:rPr>
          <w:szCs w:val="20"/>
          <w:lang w:val="en-IE"/>
        </w:rPr>
        <w:t xml:space="preserve">(VT/2013/056). Final report (2016). European Union: European Commission, Directorate-General Employment, Social Affairs and Inclusion. </w:t>
      </w:r>
      <w:proofErr w:type="spellStart"/>
      <w:r w:rsidRPr="00777703">
        <w:rPr>
          <w:szCs w:val="20"/>
          <w:lang w:val="en-IE"/>
        </w:rPr>
        <w:t>Freek</w:t>
      </w:r>
      <w:proofErr w:type="spellEnd"/>
      <w:r w:rsidRPr="00777703">
        <w:rPr>
          <w:szCs w:val="20"/>
          <w:lang w:val="en-IE"/>
        </w:rPr>
        <w:t xml:space="preserve"> </w:t>
      </w:r>
      <w:proofErr w:type="spellStart"/>
      <w:r w:rsidRPr="00777703">
        <w:rPr>
          <w:szCs w:val="20"/>
          <w:lang w:val="en-IE"/>
        </w:rPr>
        <w:t>Spinnewin</w:t>
      </w:r>
      <w:proofErr w:type="spellEnd"/>
      <w:r w:rsidRPr="00777703">
        <w:rPr>
          <w:szCs w:val="20"/>
          <w:lang w:val="en-IE"/>
        </w:rPr>
        <w:t xml:space="preserve"> of FEANTSA, who acted as scientific adviser for the project, has assisted in this research.</w:t>
      </w:r>
    </w:p>
  </w:footnote>
  <w:footnote w:id="6">
    <w:p w14:paraId="55FBFAAE"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L Fox O’ Mahony, </w:t>
      </w:r>
      <w:r w:rsidRPr="00395E14">
        <w:rPr>
          <w:bCs/>
          <w:i/>
          <w:szCs w:val="20"/>
          <w:lang w:val="en-IE"/>
        </w:rPr>
        <w:t>Conceptualising Home:</w:t>
      </w:r>
      <w:r w:rsidRPr="00395E14">
        <w:rPr>
          <w:i/>
          <w:szCs w:val="20"/>
          <w:lang w:val="en-IE"/>
        </w:rPr>
        <w:t xml:space="preserve"> Theories, Laws and Policies</w:t>
      </w:r>
      <w:r w:rsidRPr="00395E14">
        <w:rPr>
          <w:szCs w:val="20"/>
          <w:lang w:val="en-IE"/>
        </w:rPr>
        <w:t xml:space="preserve"> (Oxford, Hart 2007).</w:t>
      </w:r>
    </w:p>
  </w:footnote>
  <w:footnote w:id="7">
    <w:p w14:paraId="3ECCDBF9"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szCs w:val="20"/>
          <w:lang w:val="en-IE"/>
        </w:rPr>
        <w:t>According to the EC</w:t>
      </w:r>
      <w:r w:rsidRPr="00395E14">
        <w:rPr>
          <w:szCs w:val="20"/>
          <w:lang w:val="en-IE"/>
        </w:rPr>
        <w:t xml:space="preserve">tHR, </w:t>
      </w:r>
      <w:r w:rsidRPr="00777703">
        <w:rPr>
          <w:szCs w:val="20"/>
          <w:lang w:val="en-IE" w:eastAsia="lt-LT"/>
        </w:rPr>
        <w:t xml:space="preserve">whether accommodation is classified as a ‘home’ is a question of fact and does not depend on the lawfulness of the occupation under domestic law – </w:t>
      </w:r>
      <w:r w:rsidRPr="00777703">
        <w:rPr>
          <w:i/>
          <w:iCs/>
          <w:szCs w:val="20"/>
          <w:lang w:val="en-IE"/>
        </w:rPr>
        <w:t xml:space="preserve">Buckley v UK </w:t>
      </w:r>
      <w:r w:rsidRPr="00395E14">
        <w:rPr>
          <w:szCs w:val="20"/>
          <w:lang w:val="en-IE"/>
        </w:rPr>
        <w:t xml:space="preserve">(1996) 23 EHRR 101; </w:t>
      </w:r>
      <w:r w:rsidRPr="00395E14">
        <w:rPr>
          <w:i/>
          <w:szCs w:val="20"/>
          <w:lang w:val="en-IE"/>
        </w:rPr>
        <w:t>McCann v UK</w:t>
      </w:r>
      <w:r w:rsidRPr="00395E14">
        <w:rPr>
          <w:szCs w:val="20"/>
          <w:lang w:val="en-IE"/>
        </w:rPr>
        <w:t xml:space="preserve"> (App No 19009/04) 13 May 2008, §50.</w:t>
      </w:r>
    </w:p>
  </w:footnote>
  <w:footnote w:id="8">
    <w:p w14:paraId="541FB579"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i/>
          <w:szCs w:val="20"/>
          <w:lang w:val="en-IE"/>
        </w:rPr>
        <w:t xml:space="preserve"> </w:t>
      </w:r>
      <w:r w:rsidRPr="00395E14">
        <w:rPr>
          <w:i/>
          <w:szCs w:val="20"/>
          <w:lang w:val="en-IE"/>
        </w:rPr>
        <w:t>Connors v the United Kingdom</w:t>
      </w:r>
      <w:r w:rsidRPr="00395E14">
        <w:rPr>
          <w:szCs w:val="20"/>
          <w:lang w:val="en-IE"/>
        </w:rPr>
        <w:t xml:space="preserve"> (App No 66746/01) 27 May 2004, §82. </w:t>
      </w:r>
    </w:p>
  </w:footnote>
  <w:footnote w:id="9">
    <w:p w14:paraId="5F81D0E0" w14:textId="77777777" w:rsidR="00C859A0" w:rsidRPr="00777703" w:rsidRDefault="00C859A0" w:rsidP="00FB7DCE">
      <w:pPr>
        <w:spacing w:before="0" w:after="0" w:line="240" w:lineRule="auto"/>
        <w:rPr>
          <w:sz w:val="20"/>
          <w:szCs w:val="20"/>
        </w:rPr>
      </w:pPr>
      <w:r w:rsidRPr="00395E14">
        <w:rPr>
          <w:rStyle w:val="FootnoteReference"/>
          <w:sz w:val="20"/>
          <w:szCs w:val="20"/>
        </w:rPr>
        <w:footnoteRef/>
      </w:r>
      <w:r w:rsidRPr="00395E14">
        <w:rPr>
          <w:sz w:val="20"/>
          <w:szCs w:val="20"/>
        </w:rPr>
        <w:t xml:space="preserve"> For the purpose of the Article 8 ECHR, </w:t>
      </w:r>
      <w:r w:rsidRPr="00777703">
        <w:rPr>
          <w:sz w:val="20"/>
          <w:szCs w:val="20"/>
        </w:rPr>
        <w:t>‘</w:t>
      </w:r>
      <w:r w:rsidRPr="00395E14">
        <w:rPr>
          <w:sz w:val="20"/>
          <w:szCs w:val="20"/>
        </w:rPr>
        <w:t>home</w:t>
      </w:r>
      <w:r w:rsidRPr="00777703">
        <w:rPr>
          <w:sz w:val="20"/>
          <w:szCs w:val="20"/>
        </w:rPr>
        <w:t>’</w:t>
      </w:r>
      <w:r w:rsidRPr="00395E14">
        <w:rPr>
          <w:sz w:val="20"/>
          <w:szCs w:val="20"/>
        </w:rPr>
        <w:t xml:space="preserve"> has an autonomous </w:t>
      </w:r>
      <w:proofErr w:type="gramStart"/>
      <w:r w:rsidRPr="00395E14">
        <w:rPr>
          <w:sz w:val="20"/>
          <w:szCs w:val="20"/>
        </w:rPr>
        <w:t>meaning</w:t>
      </w:r>
      <w:proofErr w:type="gramEnd"/>
      <w:r w:rsidRPr="00395E14">
        <w:rPr>
          <w:sz w:val="20"/>
          <w:szCs w:val="20"/>
        </w:rPr>
        <w:t xml:space="preserve"> and the EC</w:t>
      </w:r>
      <w:r w:rsidRPr="00777703">
        <w:rPr>
          <w:sz w:val="20"/>
          <w:szCs w:val="20"/>
        </w:rPr>
        <w:t>tHR refers to ‘</w:t>
      </w:r>
      <w:r w:rsidRPr="00395E14">
        <w:rPr>
          <w:sz w:val="20"/>
          <w:szCs w:val="20"/>
        </w:rPr>
        <w:t>the existence of sufficient and continuous links</w:t>
      </w:r>
      <w:r w:rsidRPr="00777703">
        <w:rPr>
          <w:sz w:val="20"/>
          <w:szCs w:val="20"/>
        </w:rPr>
        <w:t>’</w:t>
      </w:r>
      <w:r w:rsidRPr="00395E14">
        <w:rPr>
          <w:sz w:val="20"/>
          <w:szCs w:val="20"/>
        </w:rPr>
        <w:t xml:space="preserve"> as being a prerequisite for a “home” with the domestic legal status of the occupier being irrelevant. See also </w:t>
      </w:r>
      <w:proofErr w:type="spellStart"/>
      <w:r w:rsidRPr="00395E14">
        <w:rPr>
          <w:i/>
          <w:sz w:val="20"/>
          <w:szCs w:val="20"/>
        </w:rPr>
        <w:t>Orlic</w:t>
      </w:r>
      <w:proofErr w:type="spellEnd"/>
      <w:r w:rsidRPr="00395E14">
        <w:rPr>
          <w:i/>
          <w:sz w:val="20"/>
          <w:szCs w:val="20"/>
        </w:rPr>
        <w:t xml:space="preserve"> v Croatia</w:t>
      </w:r>
      <w:r w:rsidRPr="00395E14">
        <w:rPr>
          <w:sz w:val="20"/>
          <w:szCs w:val="20"/>
        </w:rPr>
        <w:t xml:space="preserve"> Application no. 48833/07</w:t>
      </w:r>
      <w:r w:rsidRPr="00777703">
        <w:rPr>
          <w:sz w:val="20"/>
          <w:szCs w:val="20"/>
        </w:rPr>
        <w:t xml:space="preserve"> para 54.</w:t>
      </w:r>
    </w:p>
  </w:footnote>
  <w:footnote w:id="10">
    <w:p w14:paraId="12370D2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Fox </w:t>
      </w:r>
      <w:proofErr w:type="spellStart"/>
      <w:r w:rsidRPr="00395E14">
        <w:rPr>
          <w:szCs w:val="20"/>
          <w:lang w:val="en-IE"/>
        </w:rPr>
        <w:t>O’Mahony</w:t>
      </w:r>
      <w:proofErr w:type="spellEnd"/>
      <w:r w:rsidRPr="00395E14">
        <w:rPr>
          <w:szCs w:val="20"/>
          <w:lang w:val="en-IE"/>
        </w:rPr>
        <w:t xml:space="preserve"> (n 5) 4–5.</w:t>
      </w:r>
    </w:p>
  </w:footnote>
  <w:footnote w:id="11">
    <w:p w14:paraId="64FF3FBE"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See United Nations, Office of the High Commissioner for Human Rights (UN OHCHR). ‘Forced Evictions and Human Rights Fact Sheet No 25/Rev 1’ (New York and Geneva, UN 2014) &lt;</w:t>
      </w:r>
      <w:hyperlink r:id="rId1" w:history="1">
        <w:r w:rsidRPr="00777703">
          <w:rPr>
            <w:rStyle w:val="Hyperlink"/>
            <w:color w:val="auto"/>
            <w:szCs w:val="20"/>
            <w:u w:val="none"/>
          </w:rPr>
          <w:t>http://www.ohchr.org/_layouts/15/WopiFrame.aspx?sourcedoc=/Documents/Publications/FS25.Rev.1.pdf&amp;action=default&amp;DefaultItemOpen=1</w:t>
        </w:r>
      </w:hyperlink>
      <w:r w:rsidRPr="00395E14">
        <w:rPr>
          <w:szCs w:val="20"/>
        </w:rPr>
        <w:t>&gt;</w:t>
      </w:r>
      <w:r w:rsidRPr="00777703">
        <w:rPr>
          <w:szCs w:val="20"/>
        </w:rPr>
        <w:t>.</w:t>
      </w:r>
    </w:p>
  </w:footnote>
  <w:footnote w:id="12">
    <w:p w14:paraId="2F3D41ED"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Fox </w:t>
      </w:r>
      <w:proofErr w:type="spellStart"/>
      <w:r w:rsidRPr="00395E14">
        <w:rPr>
          <w:szCs w:val="20"/>
          <w:lang w:val="en-IE"/>
        </w:rPr>
        <w:t>O’Mahony</w:t>
      </w:r>
      <w:proofErr w:type="spellEnd"/>
      <w:r w:rsidRPr="00395E14">
        <w:rPr>
          <w:szCs w:val="20"/>
          <w:lang w:val="en-IE"/>
        </w:rPr>
        <w:t xml:space="preserve"> (n 5) 110. Fox points out that the personal consequences of evictions, such as attachment, grief or loss, are seen as intangible, immeasurable and difficult to articulate, which means that they are easily ignored in cost-benefit and legal approaches to eviction</w:t>
      </w:r>
      <w:r w:rsidRPr="00777703">
        <w:rPr>
          <w:szCs w:val="20"/>
          <w:lang w:val="en-IE"/>
        </w:rPr>
        <w:t>s.</w:t>
      </w:r>
    </w:p>
  </w:footnote>
  <w:footnote w:id="13">
    <w:p w14:paraId="5C16FC22"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Fox </w:t>
      </w:r>
      <w:proofErr w:type="spellStart"/>
      <w:r w:rsidRPr="00395E14">
        <w:rPr>
          <w:szCs w:val="20"/>
          <w:lang w:val="en-IE"/>
        </w:rPr>
        <w:t>O’Mahony</w:t>
      </w:r>
      <w:proofErr w:type="spellEnd"/>
      <w:r w:rsidRPr="00395E14">
        <w:rPr>
          <w:szCs w:val="20"/>
          <w:lang w:val="en-IE"/>
        </w:rPr>
        <w:t xml:space="preserve"> (n 5) 440–441.</w:t>
      </w:r>
    </w:p>
  </w:footnote>
  <w:footnote w:id="14">
    <w:p w14:paraId="78D398C9" w14:textId="77777777" w:rsidR="00C859A0" w:rsidRPr="00777703" w:rsidRDefault="00C859A0" w:rsidP="00FB7DCE">
      <w:pPr>
        <w:pStyle w:val="FootnoteText"/>
        <w:spacing w:before="0" w:after="0" w:line="240" w:lineRule="auto"/>
        <w:rPr>
          <w:b/>
          <w:szCs w:val="20"/>
        </w:rPr>
      </w:pPr>
      <w:r w:rsidRPr="00395E14">
        <w:rPr>
          <w:rStyle w:val="FootnoteindChar"/>
          <w:szCs w:val="20"/>
        </w:rPr>
        <w:footnoteRef/>
      </w:r>
      <w:r w:rsidRPr="00395E14">
        <w:rPr>
          <w:szCs w:val="20"/>
          <w:vertAlign w:val="superscript"/>
        </w:rPr>
        <w:t xml:space="preserve"> </w:t>
      </w:r>
      <w:r w:rsidRPr="00395E14">
        <w:rPr>
          <w:szCs w:val="20"/>
        </w:rPr>
        <w:t xml:space="preserve">M Desmond and RT Kimbro, ‘Eviction's fallout: housing, hardship, and health’ (2015) 94 (1) </w:t>
      </w:r>
      <w:r w:rsidRPr="00395E14">
        <w:rPr>
          <w:i/>
          <w:szCs w:val="20"/>
        </w:rPr>
        <w:t>Social Forces</w:t>
      </w:r>
      <w:r w:rsidRPr="00395E14">
        <w:rPr>
          <w:szCs w:val="20"/>
        </w:rPr>
        <w:t xml:space="preserve"> 295–324. Compared to matched mothers who were not evicted, mothers who were evicted in the previous year experienced</w:t>
      </w:r>
      <w:r w:rsidRPr="00777703">
        <w:rPr>
          <w:szCs w:val="20"/>
        </w:rPr>
        <w:t xml:space="preserve"> more material hardship, were more likely to suffer from depression, reported worse health for themselves and their children, and reported more parenting stress. </w:t>
      </w:r>
    </w:p>
  </w:footnote>
  <w:footnote w:id="15">
    <w:p w14:paraId="6899618F"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vertAlign w:val="superscript"/>
        </w:rPr>
        <w:t xml:space="preserve"> </w:t>
      </w:r>
      <w:r w:rsidRPr="00395E14">
        <w:rPr>
          <w:szCs w:val="20"/>
        </w:rPr>
        <w:t xml:space="preserve">M Holl, L van den Dries and JRLM Wolf, ‘Interventions to prevent tenant evictions: a systematic review’ (2015) </w:t>
      </w:r>
      <w:r w:rsidRPr="00777703">
        <w:rPr>
          <w:i/>
          <w:szCs w:val="20"/>
        </w:rPr>
        <w:t>Health Soc Care Community</w:t>
      </w:r>
      <w:r w:rsidRPr="00777703">
        <w:rPr>
          <w:szCs w:val="20"/>
        </w:rPr>
        <w:t xml:space="preserve"> 1–15. See also C Hartman, ‘Evictions: the hidden housing problem’ (2003) 14 </w:t>
      </w:r>
      <w:r w:rsidRPr="00777703">
        <w:rPr>
          <w:i/>
          <w:szCs w:val="20"/>
        </w:rPr>
        <w:t>Housing Policy Debate</w:t>
      </w:r>
      <w:r w:rsidRPr="00777703">
        <w:rPr>
          <w:szCs w:val="20"/>
        </w:rPr>
        <w:t xml:space="preserve"> 461–501.</w:t>
      </w:r>
    </w:p>
  </w:footnote>
  <w:footnote w:id="16">
    <w:p w14:paraId="5F40A59B" w14:textId="38048640"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vertAlign w:val="superscript"/>
        </w:rPr>
        <w:t xml:space="preserve"> </w:t>
      </w:r>
      <w:r w:rsidRPr="00395E14">
        <w:rPr>
          <w:szCs w:val="20"/>
        </w:rPr>
        <w:t>Y Rojas and S-Å Stenberg, ‘Evictions and suicide: a follow-up study of almost 22</w:t>
      </w:r>
      <w:r>
        <w:rPr>
          <w:szCs w:val="20"/>
        </w:rPr>
        <w:t xml:space="preserve"> </w:t>
      </w:r>
      <w:r w:rsidRPr="00395E14">
        <w:rPr>
          <w:szCs w:val="20"/>
        </w:rPr>
        <w:t xml:space="preserve">000 Swedish households in the wake of the global financial crisis’ (2016) 70 </w:t>
      </w:r>
      <w:r w:rsidRPr="00395E14">
        <w:rPr>
          <w:i/>
          <w:szCs w:val="20"/>
        </w:rPr>
        <w:t>Epidemiol</w:t>
      </w:r>
      <w:r w:rsidR="008B1CB3">
        <w:rPr>
          <w:i/>
          <w:szCs w:val="20"/>
        </w:rPr>
        <w:t>ogy &amp;</w:t>
      </w:r>
      <w:r w:rsidRPr="00395E14">
        <w:rPr>
          <w:i/>
          <w:szCs w:val="20"/>
        </w:rPr>
        <w:t xml:space="preserve"> Community Health</w:t>
      </w:r>
      <w:r w:rsidRPr="00395E14">
        <w:rPr>
          <w:szCs w:val="20"/>
        </w:rPr>
        <w:t xml:space="preserve"> 409–413 </w:t>
      </w:r>
      <w:hyperlink r:id="rId2" w:history="1">
        <w:r w:rsidRPr="00777703">
          <w:rPr>
            <w:rStyle w:val="Hyperlink"/>
            <w:color w:val="auto"/>
            <w:szCs w:val="20"/>
            <w:u w:val="none"/>
          </w:rPr>
          <w:t>http://jech.bmj.com/co</w:t>
        </w:r>
        <w:r w:rsidRPr="00777703">
          <w:rPr>
            <w:rStyle w:val="Hyperlink"/>
            <w:color w:val="auto"/>
            <w:szCs w:val="20"/>
            <w:u w:val="none"/>
          </w:rPr>
          <w:t>n</w:t>
        </w:r>
        <w:r w:rsidRPr="00777703">
          <w:rPr>
            <w:rStyle w:val="Hyperlink"/>
            <w:color w:val="auto"/>
            <w:szCs w:val="20"/>
            <w:u w:val="none"/>
          </w:rPr>
          <w:t>tent/70/4/409</w:t>
        </w:r>
      </w:hyperlink>
      <w:r w:rsidRPr="00395E14">
        <w:rPr>
          <w:szCs w:val="20"/>
        </w:rPr>
        <w:t>.</w:t>
      </w:r>
    </w:p>
  </w:footnote>
  <w:footnote w:id="17">
    <w:p w14:paraId="4E1E1269"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M Desmond, </w:t>
      </w:r>
      <w:r w:rsidRPr="00395E14">
        <w:rPr>
          <w:i/>
          <w:szCs w:val="20"/>
          <w:lang w:val="en-IE"/>
        </w:rPr>
        <w:t>Evicted – Poverty and Profit in the American City</w:t>
      </w:r>
      <w:r w:rsidRPr="00395E14">
        <w:rPr>
          <w:szCs w:val="20"/>
          <w:lang w:val="en-IE"/>
        </w:rPr>
        <w:t xml:space="preserve"> (New York, Crown Publishers 2016) 5. These low-income tenants are disproportionately African American women with children. See also AD Dana, ‘An invisible crisis in plain sight: the emergence of the “eviction economy”, its causes, and the possibilities for reform in</w:t>
      </w:r>
      <w:r w:rsidRPr="00777703">
        <w:rPr>
          <w:szCs w:val="20"/>
          <w:lang w:val="en-IE"/>
        </w:rPr>
        <w:t xml:space="preserve"> legal regulation and education’ (2017) 115 (6) </w:t>
      </w:r>
      <w:r w:rsidRPr="00777703">
        <w:rPr>
          <w:i/>
          <w:szCs w:val="20"/>
          <w:lang w:val="en-IE"/>
        </w:rPr>
        <w:t>Michigan Law Review</w:t>
      </w:r>
      <w:r w:rsidRPr="00777703">
        <w:rPr>
          <w:szCs w:val="20"/>
          <w:lang w:val="en-IE"/>
        </w:rPr>
        <w:t xml:space="preserve"> 935–953. </w:t>
      </w:r>
    </w:p>
  </w:footnote>
  <w:footnote w:id="18">
    <w:p w14:paraId="72B51D95"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Foundation Abbe Pierre – FEANTSA, </w:t>
      </w:r>
      <w:r w:rsidRPr="00395E14">
        <w:rPr>
          <w:i/>
          <w:szCs w:val="20"/>
          <w:lang w:val="en-IE"/>
        </w:rPr>
        <w:t>Second Overview of Housing Exclusion in Europe 2017,</w:t>
      </w:r>
      <w:r w:rsidRPr="00395E14">
        <w:rPr>
          <w:szCs w:val="20"/>
          <w:lang w:val="en-IE"/>
        </w:rPr>
        <w:t xml:space="preserve"> </w:t>
      </w:r>
      <w:r w:rsidRPr="00777703">
        <w:rPr>
          <w:i/>
          <w:szCs w:val="20"/>
          <w:lang w:val="en-IE"/>
        </w:rPr>
        <w:t>Evictions in Europe: Useless, Expensive and Preventable</w:t>
      </w:r>
      <w:r w:rsidRPr="00777703">
        <w:rPr>
          <w:szCs w:val="20"/>
          <w:lang w:val="en-IE"/>
        </w:rPr>
        <w:t xml:space="preserve"> (Brussels, FEANTSA 2017) 82.</w:t>
      </w:r>
    </w:p>
  </w:footnote>
  <w:footnote w:id="19">
    <w:p w14:paraId="293CDC5C"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See Desmond (n 16) 330–</w:t>
      </w:r>
      <w:r w:rsidRPr="00777703">
        <w:rPr>
          <w:szCs w:val="20"/>
          <w:lang w:val="en-IE"/>
        </w:rPr>
        <w:t>33</w:t>
      </w:r>
      <w:r w:rsidRPr="00395E14">
        <w:rPr>
          <w:szCs w:val="20"/>
          <w:lang w:val="en-IE"/>
        </w:rPr>
        <w:t xml:space="preserve">1. Desmond’s detailed study revealed that one in eight of Milwaukee’s private renters experienced at least one forced move, formal or informal eviction, landlord foreclosure, or building condemnation, in the two years prior to being </w:t>
      </w:r>
      <w:r w:rsidRPr="00777703">
        <w:rPr>
          <w:szCs w:val="20"/>
          <w:lang w:val="en-IE"/>
        </w:rPr>
        <w:t>surveyed. Nearly half of these forced moves were informal evictions; off-the-books displacement not processed through the courts. Formal eviction was less common, constituting 24 per cent of forced moves. Thus, for every eviction executed through the judicial system, there were two others executed beyond the purview of the courts, without any form of due process.</w:t>
      </w:r>
    </w:p>
  </w:footnote>
  <w:footnote w:id="20">
    <w:p w14:paraId="1EDE7962"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Desmond (n 16) 330.</w:t>
      </w:r>
    </w:p>
  </w:footnote>
  <w:footnote w:id="21">
    <w:p w14:paraId="57E374C6"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Interview with </w:t>
      </w:r>
      <w:r w:rsidRPr="00777703">
        <w:rPr>
          <w:szCs w:val="20"/>
          <w:lang w:val="en-IE"/>
        </w:rPr>
        <w:t>Public Centres for Social Welfare (PCSW) social worker.</w:t>
      </w:r>
    </w:p>
  </w:footnote>
  <w:footnote w:id="22">
    <w:p w14:paraId="4C03B768"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Kenna </w:t>
      </w:r>
      <w:r w:rsidRPr="00777703">
        <w:rPr>
          <w:szCs w:val="20"/>
          <w:lang w:val="en-IE"/>
        </w:rPr>
        <w:t>et</w:t>
      </w:r>
      <w:r w:rsidRPr="00395E14">
        <w:rPr>
          <w:i/>
          <w:szCs w:val="20"/>
          <w:lang w:val="en-IE"/>
        </w:rPr>
        <w:t xml:space="preserve"> </w:t>
      </w:r>
      <w:r w:rsidRPr="00777703">
        <w:rPr>
          <w:szCs w:val="20"/>
          <w:lang w:val="en-IE"/>
        </w:rPr>
        <w:t>al</w:t>
      </w:r>
      <w:r w:rsidRPr="00395E14">
        <w:rPr>
          <w:szCs w:val="20"/>
          <w:lang w:val="en-IE"/>
        </w:rPr>
        <w:t xml:space="preserve"> (n 4) Part 1.</w:t>
      </w:r>
    </w:p>
  </w:footnote>
  <w:footnote w:id="23">
    <w:p w14:paraId="459FE4B3"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szCs w:val="20"/>
          <w:lang w:val="en-IE" w:eastAsia="en-US"/>
        </w:rPr>
        <w:t xml:space="preserve"> </w:t>
      </w:r>
      <w:r w:rsidRPr="00777703">
        <w:rPr>
          <w:szCs w:val="20"/>
          <w:lang w:val="en-IE" w:eastAsia="en-US"/>
        </w:rPr>
        <w:t>A significant exception is the assured shorthold tenancy arrangement used for the private rented sector in England. These tenancies provide legal protections during an agreed period (usually 6 or 12 months) but do not provide any legal protection once the agreed period of the tenancy has expired.</w:t>
      </w:r>
    </w:p>
  </w:footnote>
  <w:footnote w:id="24">
    <w:p w14:paraId="221591A7" w14:textId="77777777" w:rsidR="00C859A0" w:rsidRPr="00395E14" w:rsidRDefault="00C859A0" w:rsidP="00FB7DCE">
      <w:pPr>
        <w:pStyle w:val="FootnoteText"/>
        <w:suppressAutoHyphens/>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The issue of those fleeing domestic violence is one that does not easily fit into these descriptions of eviction, but nevertheless it involves dispossession from the home.</w:t>
      </w:r>
    </w:p>
  </w:footnote>
  <w:footnote w:id="25">
    <w:p w14:paraId="3081795A"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Prior to the instruction to the occupant to leave, there may be exchanges of letters, etc; however, only materials and data from the moment that the formal eviction process has begun can usually be researched (in many cases these informal exchanges may not lead to any eviction being instigated, and they are impo</w:t>
      </w:r>
      <w:r w:rsidRPr="00777703">
        <w:rPr>
          <w:szCs w:val="20"/>
          <w:lang w:val="en-IE"/>
        </w:rPr>
        <w:t>ssible to access).</w:t>
      </w:r>
    </w:p>
  </w:footnote>
  <w:footnote w:id="26">
    <w:p w14:paraId="721948AF"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See Kenna et al (n 4) 22.</w:t>
      </w:r>
    </w:p>
  </w:footnote>
  <w:footnote w:id="27">
    <w:p w14:paraId="4F065D5B"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Hartman (n 14).</w:t>
      </w:r>
    </w:p>
  </w:footnote>
  <w:footnote w:id="28">
    <w:p w14:paraId="42384898"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Department of Finance/Central Bank (2016) 33. Of course, this took place in the course of eviction proceedings having </w:t>
      </w:r>
      <w:r w:rsidRPr="00777703">
        <w:rPr>
          <w:szCs w:val="20"/>
        </w:rPr>
        <w:t>been instigated</w:t>
      </w:r>
      <w:r w:rsidRPr="00395E14">
        <w:rPr>
          <w:szCs w:val="20"/>
        </w:rPr>
        <w:t>, and the action taken by distressed home loan borrowers avoided the traumatic physical eviction from taking place. Unfortunately, there has been no research by the Central Bank or Department of Finance on the fate of those who left their homes in these circumstances or how many children were involved.</w:t>
      </w:r>
    </w:p>
  </w:footnote>
  <w:footnote w:id="29">
    <w:p w14:paraId="0445D593"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Kenna et al (n 4).</w:t>
      </w:r>
    </w:p>
  </w:footnote>
  <w:footnote w:id="30">
    <w:p w14:paraId="061F2087"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UN Committee on Economic, Social and Cultural Rights (UN CESCR), General Comment No 7 (1997) The right to adequate housing (Art 11.1): forced evictions. UN Doc. E/1998/22 (Sixteenth Session 20 May 1997) Annex IV.</w:t>
      </w:r>
    </w:p>
  </w:footnote>
  <w:footnote w:id="31">
    <w:p w14:paraId="732F9064"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One of the major deficits identified in that research (EU Pilot Project Report) was that the Eurostat EU-Survey on Income and Living Conditions (SILC) on change of dwelling, in the special housing module of 2012 (which found that 700</w:t>
      </w:r>
      <w:r w:rsidRPr="00777703">
        <w:rPr>
          <w:szCs w:val="20"/>
        </w:rPr>
        <w:t xml:space="preserve"> </w:t>
      </w:r>
      <w:r w:rsidRPr="00395E14">
        <w:rPr>
          <w:szCs w:val="20"/>
        </w:rPr>
        <w:t xml:space="preserve">000 people </w:t>
      </w:r>
      <w:r w:rsidRPr="00777703">
        <w:rPr>
          <w:szCs w:val="20"/>
        </w:rPr>
        <w:t>in EU Member States had changed dwelling due to an eviction in the previous five-year period)</w:t>
      </w:r>
      <w:r w:rsidRPr="00395E14">
        <w:rPr>
          <w:szCs w:val="20"/>
        </w:rPr>
        <w:t xml:space="preserve"> was based on households and did not survey those living in hostels, hotels, homelessness services or on the street. The EU Pilot Project Report recommended that improving the basis for the EU-SILC question on housing evictions requires a reason for </w:t>
      </w:r>
      <w:r w:rsidRPr="00777703">
        <w:rPr>
          <w:szCs w:val="20"/>
        </w:rPr>
        <w:t>‘</w:t>
      </w:r>
      <w:r w:rsidRPr="00395E14">
        <w:rPr>
          <w:szCs w:val="20"/>
        </w:rPr>
        <w:t>change of dwelling</w:t>
      </w:r>
      <w:r w:rsidRPr="00777703">
        <w:rPr>
          <w:szCs w:val="20"/>
        </w:rPr>
        <w:t>’</w:t>
      </w:r>
      <w:r w:rsidRPr="00395E14">
        <w:rPr>
          <w:szCs w:val="20"/>
        </w:rPr>
        <w:t xml:space="preserve">. </w:t>
      </w:r>
      <w:r w:rsidRPr="00777703">
        <w:rPr>
          <w:szCs w:val="20"/>
        </w:rPr>
        <w:t>Eurostat (EU-SILC) found that 700 000 persons in Europe had changed dwelling because of an eviction in the five years to 2012.</w:t>
      </w:r>
    </w:p>
  </w:footnote>
  <w:footnote w:id="32">
    <w:p w14:paraId="02C332C2"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C von Otter, O </w:t>
      </w:r>
      <w:proofErr w:type="spellStart"/>
      <w:r w:rsidRPr="00395E14">
        <w:rPr>
          <w:szCs w:val="20"/>
        </w:rPr>
        <w:t>Bäckman</w:t>
      </w:r>
      <w:proofErr w:type="spellEnd"/>
      <w:r w:rsidRPr="00395E14">
        <w:rPr>
          <w:szCs w:val="20"/>
        </w:rPr>
        <w:t xml:space="preserve">, SÅ Stenberg and CQ Eisenstein, ‘Dynamics of evictions: results from a Swedish database’ (2017) 11 (1) </w:t>
      </w:r>
      <w:r w:rsidRPr="00777703">
        <w:rPr>
          <w:i/>
          <w:szCs w:val="20"/>
        </w:rPr>
        <w:t>European Journal of Homelessness</w:t>
      </w:r>
      <w:r w:rsidRPr="00777703">
        <w:rPr>
          <w:szCs w:val="20"/>
        </w:rPr>
        <w:t xml:space="preserve"> 1, 3.</w:t>
      </w:r>
    </w:p>
  </w:footnote>
  <w:footnote w:id="33">
    <w:p w14:paraId="157EFBA5"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M </w:t>
      </w:r>
      <w:r w:rsidRPr="00395E14">
        <w:rPr>
          <w:rFonts w:eastAsia="MS Mincho"/>
          <w:szCs w:val="20"/>
        </w:rPr>
        <w:t xml:space="preserve">Desmond and C </w:t>
      </w:r>
      <w:proofErr w:type="spellStart"/>
      <w:r w:rsidRPr="00395E14">
        <w:rPr>
          <w:rFonts w:eastAsia="MS Mincho"/>
          <w:szCs w:val="20"/>
        </w:rPr>
        <w:t>Gershenson</w:t>
      </w:r>
      <w:proofErr w:type="spellEnd"/>
      <w:r w:rsidRPr="00395E14">
        <w:rPr>
          <w:rFonts w:eastAsia="MS Mincho"/>
          <w:szCs w:val="20"/>
        </w:rPr>
        <w:t xml:space="preserve">, ‘Who gets evicted? Assessing individual, neighbourhood, and network factors’ (2016) </w:t>
      </w:r>
      <w:r w:rsidRPr="00395E14">
        <w:rPr>
          <w:rFonts w:eastAsia="MS Mincho"/>
          <w:i/>
          <w:szCs w:val="20"/>
        </w:rPr>
        <w:t>Social Science Research</w:t>
      </w:r>
      <w:r w:rsidRPr="00395E14">
        <w:rPr>
          <w:rFonts w:eastAsia="MS Mincho"/>
          <w:szCs w:val="20"/>
        </w:rPr>
        <w:t xml:space="preserve"> 1, 2 </w:t>
      </w:r>
      <w:hyperlink r:id="rId3" w:history="1">
        <w:r w:rsidRPr="00777703">
          <w:rPr>
            <w:rStyle w:val="Hyperlink"/>
            <w:rFonts w:eastAsia="MS Mincho"/>
            <w:color w:val="auto"/>
            <w:szCs w:val="20"/>
            <w:u w:val="none"/>
          </w:rPr>
          <w:t>https://scholar.harvard.edu/mdesmond/publications/who-gets-evicted-assessing-individual-neighborhood-and-network-factors</w:t>
        </w:r>
      </w:hyperlink>
      <w:r w:rsidRPr="00777703">
        <w:rPr>
          <w:rFonts w:eastAsia="MS Mincho"/>
          <w:szCs w:val="20"/>
        </w:rPr>
        <w:t>.</w:t>
      </w:r>
    </w:p>
  </w:footnote>
  <w:footnote w:id="34">
    <w:p w14:paraId="4388A124"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The EU Pilot Project Report showed that in the EU Member States where evictions are widely concentrated among people with complex support needs, about one-quarter of those can become homeless.</w:t>
      </w:r>
    </w:p>
  </w:footnote>
  <w:footnote w:id="35">
    <w:p w14:paraId="6B9AB565"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Kenna et al (n 4) 79.</w:t>
      </w:r>
    </w:p>
  </w:footnote>
  <w:footnote w:id="36">
    <w:p w14:paraId="292DE34C" w14:textId="77777777" w:rsidR="00C859A0" w:rsidRPr="00777703" w:rsidRDefault="00C859A0" w:rsidP="00FB7DCE">
      <w:pPr>
        <w:pStyle w:val="FootnoteText"/>
        <w:suppressAutoHyphens/>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Southern European Member States in this classification include Cyprus, Greece, Italy, Malta, Portugal and Spain. The Central and Eastern European (CEE) Member States include Bulgaria, Croatia, the Czech Republic, Estonia, Hungary, Latvia, Lithuania, Poland, Romania, Slovakia and </w:t>
      </w:r>
      <w:r w:rsidRPr="00777703">
        <w:rPr>
          <w:szCs w:val="20"/>
          <w:lang w:val="en-IE"/>
        </w:rPr>
        <w:t>Slovenia.</w:t>
      </w:r>
    </w:p>
  </w:footnote>
  <w:footnote w:id="37">
    <w:p w14:paraId="60759AF9"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This category of northern and western European States includes Austria, Belgium, Denmark, Germany, Finland, France, Ireland, Luxembourg, </w:t>
      </w:r>
      <w:r w:rsidRPr="00777703">
        <w:rPr>
          <w:szCs w:val="20"/>
          <w:lang w:val="en-IE"/>
        </w:rPr>
        <w:t xml:space="preserve">the </w:t>
      </w:r>
      <w:r w:rsidRPr="00395E14">
        <w:rPr>
          <w:szCs w:val="20"/>
          <w:lang w:val="en-IE"/>
        </w:rPr>
        <w:t>Netherlands, Sweden and the UK.</w:t>
      </w:r>
    </w:p>
  </w:footnote>
  <w:footnote w:id="38">
    <w:p w14:paraId="1AC71D6C"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lang w:val="en-US"/>
        </w:rPr>
        <w:t xml:space="preserve">UN Habitat, </w:t>
      </w:r>
      <w:r w:rsidRPr="00395E14">
        <w:rPr>
          <w:i/>
          <w:szCs w:val="20"/>
          <w:lang w:val="en-US"/>
        </w:rPr>
        <w:t>Housing at the Centre of the New Urban Agenda</w:t>
      </w:r>
      <w:r w:rsidRPr="00395E14">
        <w:rPr>
          <w:szCs w:val="20"/>
          <w:lang w:val="en-US"/>
        </w:rPr>
        <w:t xml:space="preserve"> (Nairobi, UN-Habitat 2015) 9; see also MB </w:t>
      </w:r>
      <w:proofErr w:type="spellStart"/>
      <w:r w:rsidRPr="00395E14">
        <w:rPr>
          <w:szCs w:val="20"/>
          <w:lang w:val="en-US"/>
        </w:rPr>
        <w:t>Aalbers</w:t>
      </w:r>
      <w:proofErr w:type="spellEnd"/>
      <w:r w:rsidRPr="00395E14">
        <w:rPr>
          <w:szCs w:val="20"/>
          <w:lang w:val="en-US"/>
        </w:rPr>
        <w:t xml:space="preserve">, </w:t>
      </w:r>
      <w:r w:rsidRPr="00395E14">
        <w:rPr>
          <w:i/>
          <w:szCs w:val="20"/>
        </w:rPr>
        <w:t>The Financialization of Housing</w:t>
      </w:r>
      <w:r w:rsidRPr="00395E14">
        <w:rPr>
          <w:szCs w:val="20"/>
        </w:rPr>
        <w:t xml:space="preserve"> (Oxford, Routledge 2016).</w:t>
      </w:r>
    </w:p>
  </w:footnote>
  <w:footnote w:id="39">
    <w:p w14:paraId="63C07F57"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UN Habitat (n 37) 9.</w:t>
      </w:r>
    </w:p>
  </w:footnote>
  <w:footnote w:id="40">
    <w:p w14:paraId="6AE214E7" w14:textId="77777777" w:rsidR="00C859A0" w:rsidRPr="00395E14" w:rsidRDefault="00C859A0" w:rsidP="00FB7DCE">
      <w:pPr>
        <w:pStyle w:val="FootnoteText"/>
        <w:spacing w:before="0" w:after="0" w:line="240" w:lineRule="auto"/>
        <w:rPr>
          <w:b/>
          <w:szCs w:val="20"/>
        </w:rPr>
      </w:pPr>
      <w:r w:rsidRPr="00395E14">
        <w:rPr>
          <w:rStyle w:val="FootnoteindChar"/>
          <w:szCs w:val="20"/>
        </w:rPr>
        <w:footnoteRef/>
      </w:r>
      <w:r w:rsidRPr="00395E14">
        <w:rPr>
          <w:szCs w:val="20"/>
        </w:rPr>
        <w:t>See Eurostat, ‘Housing Statistics 2015’ &lt;</w:t>
      </w:r>
      <w:hyperlink r:id="rId4" w:anchor="Housing_affordability" w:history="1">
        <w:r w:rsidRPr="00777703">
          <w:rPr>
            <w:rStyle w:val="Hyperlink"/>
            <w:color w:val="auto"/>
            <w:szCs w:val="20"/>
            <w:u w:val="none"/>
          </w:rPr>
          <w:t>http://ec.europa.eu/eurostat/statistics-explained/index.php/Housing_statistics#Housing_affordability</w:t>
        </w:r>
      </w:hyperlink>
      <w:r w:rsidRPr="00395E14">
        <w:rPr>
          <w:szCs w:val="20"/>
        </w:rPr>
        <w:t>&gt;</w:t>
      </w:r>
      <w:r w:rsidRPr="00777703">
        <w:rPr>
          <w:szCs w:val="20"/>
        </w:rPr>
        <w:t>.</w:t>
      </w:r>
    </w:p>
  </w:footnote>
  <w:footnote w:id="41">
    <w:p w14:paraId="7E48DC1F" w14:textId="77777777" w:rsidR="00C859A0" w:rsidRPr="00777703" w:rsidRDefault="00C859A0" w:rsidP="00FB7DCE">
      <w:pPr>
        <w:tabs>
          <w:tab w:val="left" w:pos="567"/>
        </w:tabs>
        <w:spacing w:before="0" w:after="0" w:line="240" w:lineRule="auto"/>
        <w:rPr>
          <w:sz w:val="20"/>
          <w:szCs w:val="20"/>
        </w:rPr>
      </w:pPr>
      <w:r w:rsidRPr="00777703">
        <w:rPr>
          <w:rStyle w:val="FootnoteReference"/>
          <w:sz w:val="20"/>
          <w:szCs w:val="20"/>
          <w:lang w:val="en-IE"/>
        </w:rPr>
        <w:footnoteRef/>
      </w:r>
      <w:r w:rsidRPr="00777703">
        <w:rPr>
          <w:sz w:val="20"/>
          <w:szCs w:val="20"/>
          <w:lang w:val="en-IE"/>
        </w:rPr>
        <w:t xml:space="preserve"> </w:t>
      </w:r>
      <w:r w:rsidRPr="00777703">
        <w:rPr>
          <w:sz w:val="20"/>
          <w:szCs w:val="20"/>
          <w:lang w:val="en-IE"/>
        </w:rPr>
        <w:t xml:space="preserve">K Scanlon, CME Whitehead and M Fernández </w:t>
      </w:r>
      <w:proofErr w:type="spellStart"/>
      <w:r w:rsidRPr="00777703">
        <w:rPr>
          <w:sz w:val="20"/>
          <w:szCs w:val="20"/>
          <w:lang w:val="en-IE"/>
        </w:rPr>
        <w:t>Arrigoitia</w:t>
      </w:r>
      <w:proofErr w:type="spellEnd"/>
      <w:r w:rsidRPr="00777703">
        <w:rPr>
          <w:sz w:val="20"/>
          <w:szCs w:val="20"/>
          <w:lang w:val="en-IE"/>
        </w:rPr>
        <w:t xml:space="preserve"> (eds), </w:t>
      </w:r>
      <w:r w:rsidRPr="00777703">
        <w:rPr>
          <w:i/>
          <w:sz w:val="20"/>
          <w:szCs w:val="20"/>
          <w:lang w:val="en-IE"/>
        </w:rPr>
        <w:t>Social Housing in Europe</w:t>
      </w:r>
      <w:r w:rsidRPr="00777703">
        <w:rPr>
          <w:sz w:val="20"/>
          <w:szCs w:val="20"/>
          <w:lang w:val="en-IE"/>
        </w:rPr>
        <w:t xml:space="preserve"> </w:t>
      </w:r>
      <w:r w:rsidRPr="00395E14">
        <w:rPr>
          <w:sz w:val="20"/>
          <w:szCs w:val="20"/>
          <w:lang w:val="en-IE"/>
        </w:rPr>
        <w:t xml:space="preserve">Housing Europe </w:t>
      </w:r>
      <w:r w:rsidRPr="00777703">
        <w:rPr>
          <w:sz w:val="20"/>
          <w:szCs w:val="20"/>
        </w:rPr>
        <w:t>(London, Wiley-Blackwell 2014);</w:t>
      </w:r>
      <w:r w:rsidRPr="00395E14">
        <w:rPr>
          <w:sz w:val="20"/>
          <w:szCs w:val="20"/>
          <w:lang w:val="en-IE"/>
        </w:rPr>
        <w:t xml:space="preserve"> Housing Europe, </w:t>
      </w:r>
      <w:r w:rsidRPr="00395E14">
        <w:rPr>
          <w:i/>
          <w:sz w:val="20"/>
          <w:szCs w:val="20"/>
        </w:rPr>
        <w:t xml:space="preserve">The State of Housing in the EU 2015 </w:t>
      </w:r>
      <w:r w:rsidRPr="00777703">
        <w:rPr>
          <w:sz w:val="20"/>
          <w:szCs w:val="20"/>
        </w:rPr>
        <w:t>(Brussels, Housing Europe 2015)</w:t>
      </w:r>
      <w:r w:rsidRPr="00777703">
        <w:rPr>
          <w:sz w:val="20"/>
          <w:szCs w:val="20"/>
          <w:lang w:val="en-IE"/>
        </w:rPr>
        <w:t xml:space="preserve">; </w:t>
      </w:r>
      <w:r w:rsidRPr="00395E14">
        <w:rPr>
          <w:sz w:val="20"/>
          <w:szCs w:val="20"/>
          <w:lang w:val="en-IE"/>
        </w:rPr>
        <w:t xml:space="preserve">M </w:t>
      </w:r>
      <w:proofErr w:type="spellStart"/>
      <w:r w:rsidRPr="00395E14">
        <w:rPr>
          <w:sz w:val="20"/>
          <w:szCs w:val="20"/>
          <w:lang w:val="en-IE"/>
        </w:rPr>
        <w:t>Elsinga</w:t>
      </w:r>
      <w:proofErr w:type="spellEnd"/>
      <w:r w:rsidRPr="00395E14">
        <w:rPr>
          <w:sz w:val="20"/>
          <w:szCs w:val="20"/>
          <w:lang w:val="en-IE"/>
        </w:rPr>
        <w:t xml:space="preserve">, </w:t>
      </w:r>
      <w:r w:rsidRPr="00395E14">
        <w:rPr>
          <w:sz w:val="20"/>
          <w:szCs w:val="20"/>
        </w:rPr>
        <w:t>‘Changing housing systems and their potential impacts on homelessness’</w:t>
      </w:r>
      <w:r>
        <w:rPr>
          <w:sz w:val="20"/>
          <w:szCs w:val="20"/>
        </w:rPr>
        <w:t xml:space="preserve"> </w:t>
      </w:r>
      <w:r w:rsidRPr="00777703">
        <w:rPr>
          <w:sz w:val="20"/>
          <w:szCs w:val="20"/>
        </w:rPr>
        <w:t xml:space="preserve">(2015) 9 (1) </w:t>
      </w:r>
      <w:r w:rsidRPr="00777703">
        <w:rPr>
          <w:i/>
          <w:sz w:val="20"/>
          <w:szCs w:val="20"/>
        </w:rPr>
        <w:t>European Journal of Homelessness</w:t>
      </w:r>
      <w:r w:rsidRPr="00777703">
        <w:rPr>
          <w:sz w:val="20"/>
          <w:szCs w:val="20"/>
        </w:rPr>
        <w:t xml:space="preserve"> 15</w:t>
      </w:r>
      <w:r w:rsidRPr="00777703">
        <w:rPr>
          <w:sz w:val="20"/>
          <w:szCs w:val="20"/>
          <w:lang w:val="en-IE"/>
        </w:rPr>
        <w:t>.</w:t>
      </w:r>
    </w:p>
  </w:footnote>
  <w:footnote w:id="42">
    <w:p w14:paraId="4C319B5B"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szCs w:val="20"/>
        </w:rPr>
        <w:t>European Parliament, (2013) Social Housing in the EU, Brussels, IP/A/EMPL/NT/2012-07 PE 492.469.</w:t>
      </w:r>
    </w:p>
  </w:footnote>
  <w:footnote w:id="43">
    <w:p w14:paraId="2621C2E8" w14:textId="77777777" w:rsidR="00C859A0" w:rsidRPr="00777703"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Some 400–500 such slums were counted in 2014, where 17 000–20 000 people lived, and in that year some 13 000 people experien</w:t>
      </w:r>
      <w:r w:rsidRPr="00777703">
        <w:rPr>
          <w:szCs w:val="20"/>
        </w:rPr>
        <w:t>ced forced evictions.</w:t>
      </w:r>
    </w:p>
  </w:footnote>
  <w:footnote w:id="44">
    <w:p w14:paraId="783F17BE"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Directive 2014/17/EU on Credit Agreements for Consumers Relating to Residential Immovable Property and Amending Directives 2008/48/EC and 2013/36/EU and Regulation (EU) No 1093/2010.</w:t>
      </w:r>
    </w:p>
  </w:footnote>
  <w:footnote w:id="45">
    <w:p w14:paraId="277ECF95" w14:textId="77777777" w:rsidR="00C859A0" w:rsidRPr="00395E14" w:rsidRDefault="00C859A0" w:rsidP="00FB7DCE">
      <w:pPr>
        <w:pStyle w:val="FootnoteText"/>
        <w:spacing w:before="0" w:after="0" w:line="240" w:lineRule="auto"/>
        <w:rPr>
          <w:b/>
          <w:szCs w:val="20"/>
        </w:rPr>
      </w:pPr>
      <w:r w:rsidRPr="00395E14">
        <w:rPr>
          <w:rStyle w:val="FootnoteindChar"/>
          <w:szCs w:val="20"/>
        </w:rPr>
        <w:footnoteRef/>
      </w:r>
      <w:r w:rsidRPr="00395E14">
        <w:rPr>
          <w:szCs w:val="20"/>
        </w:rPr>
        <w:t xml:space="preserve"> Housing Europe, </w:t>
      </w:r>
      <w:r w:rsidRPr="00395E14">
        <w:rPr>
          <w:i/>
          <w:szCs w:val="20"/>
        </w:rPr>
        <w:t>The State of Housing in the EU 2017</w:t>
      </w:r>
      <w:r w:rsidRPr="00395E14">
        <w:rPr>
          <w:szCs w:val="20"/>
        </w:rPr>
        <w:t xml:space="preserve"> (Brussels, Housing Europe Observatory 2017) &lt;</w:t>
      </w:r>
      <w:hyperlink r:id="rId5" w:history="1">
        <w:r w:rsidRPr="00777703">
          <w:rPr>
            <w:rStyle w:val="Hyperlink"/>
            <w:color w:val="auto"/>
            <w:szCs w:val="20"/>
            <w:u w:val="none"/>
          </w:rPr>
          <w:t>http://www.housingeurope.eu/resource-1000/the-state-of-housing-in-the-eu-2017</w:t>
        </w:r>
      </w:hyperlink>
      <w:r w:rsidRPr="00395E14">
        <w:rPr>
          <w:szCs w:val="20"/>
        </w:rPr>
        <w:t>&gt;</w:t>
      </w:r>
      <w:r w:rsidRPr="00777703">
        <w:rPr>
          <w:szCs w:val="20"/>
        </w:rPr>
        <w:t>.</w:t>
      </w:r>
    </w:p>
  </w:footnote>
  <w:footnote w:id="46">
    <w:p w14:paraId="46EE4ED6"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European Commission, Population and Housing Census 2011; Housing Europe General Survey 2016.</w:t>
      </w:r>
    </w:p>
  </w:footnote>
  <w:footnote w:id="47">
    <w:p w14:paraId="3F533B10"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Census 2011, European Mortgage Federation (EMF) </w:t>
      </w:r>
      <w:proofErr w:type="spellStart"/>
      <w:r w:rsidRPr="00395E14">
        <w:rPr>
          <w:i/>
          <w:szCs w:val="20"/>
        </w:rPr>
        <w:t>Hypostat</w:t>
      </w:r>
      <w:proofErr w:type="spellEnd"/>
      <w:r w:rsidRPr="00395E14">
        <w:rPr>
          <w:i/>
          <w:szCs w:val="20"/>
        </w:rPr>
        <w:t xml:space="preserve"> 2017</w:t>
      </w:r>
      <w:r w:rsidRPr="00395E14">
        <w:rPr>
          <w:szCs w:val="20"/>
        </w:rPr>
        <w:t xml:space="preserve"> (Brussels, EMF 2017).</w:t>
      </w:r>
    </w:p>
  </w:footnote>
  <w:footnote w:id="48">
    <w:p w14:paraId="770DAE0D"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Cooperatives.</w:t>
      </w:r>
    </w:p>
  </w:footnote>
  <w:footnote w:id="49">
    <w:p w14:paraId="62DB0F5F"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Census (Ireland) 2016.</w:t>
      </w:r>
    </w:p>
  </w:footnote>
  <w:footnote w:id="50">
    <w:p w14:paraId="08E9AA06"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Cooperatives.</w:t>
      </w:r>
    </w:p>
  </w:footnote>
  <w:footnote w:id="51">
    <w:p w14:paraId="072C5AFC"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The greatest impact was in Ireland, where the rate was reduced from 38.5 per cent to 14.1 per cent in 2013</w:t>
      </w:r>
      <w:r>
        <w:rPr>
          <w:szCs w:val="20"/>
          <w:lang w:val="en-IE"/>
        </w:rPr>
        <w:t xml:space="preserve"> through social transfers</w:t>
      </w:r>
      <w:r w:rsidRPr="00395E14">
        <w:rPr>
          <w:szCs w:val="20"/>
          <w:lang w:val="en-IE"/>
        </w:rPr>
        <w:t>.</w:t>
      </w:r>
    </w:p>
  </w:footnote>
  <w:footnote w:id="52">
    <w:p w14:paraId="4BAB2EDE"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Holl et al (n 14) examined all existing international (English language) published research on preventing tenant evictions and concluded that ‘[A] scientific foundation of knowledge for the de</w:t>
      </w:r>
      <w:r w:rsidRPr="00777703">
        <w:rPr>
          <w:szCs w:val="20"/>
          <w:lang w:val="en-IE"/>
        </w:rPr>
        <w:t>velopment and implementation of preventative practices and policies regarding tenant evictions is almost absent and more research is needed.’</w:t>
      </w:r>
    </w:p>
  </w:footnote>
  <w:footnote w:id="53">
    <w:p w14:paraId="0131D2C5"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European Central Bank (ECB), </w:t>
      </w:r>
      <w:r w:rsidRPr="00395E14">
        <w:rPr>
          <w:i/>
          <w:szCs w:val="20"/>
        </w:rPr>
        <w:t>Guidance to Banks on Non-Performing Loans</w:t>
      </w:r>
      <w:r w:rsidRPr="00395E14">
        <w:rPr>
          <w:szCs w:val="20"/>
        </w:rPr>
        <w:t xml:space="preserve"> (ECB 2017) 49; EBA, </w:t>
      </w:r>
      <w:r w:rsidRPr="00777703">
        <w:rPr>
          <w:i/>
          <w:szCs w:val="20"/>
        </w:rPr>
        <w:t>Final Report on Guidelines on Arrears and Foreclosure</w:t>
      </w:r>
      <w:r w:rsidRPr="00777703">
        <w:rPr>
          <w:szCs w:val="20"/>
        </w:rPr>
        <w:t>, EBA/GL/2015/12 (EBA2015). These include forbearance measures such as interest-only payments; reduced payments; grace period/payment moratorium; arrears/interest capitali</w:t>
      </w:r>
      <w:r>
        <w:rPr>
          <w:szCs w:val="20"/>
        </w:rPr>
        <w:t>z</w:t>
      </w:r>
      <w:r w:rsidRPr="00777703">
        <w:rPr>
          <w:szCs w:val="20"/>
        </w:rPr>
        <w:t>ation; interest rate reduction; extension of maturity or term; additional security; sale by agreement or assisted sale; rescheduled payments; conversion of currency; other alteration of contract conditions or covenants; new credit facilities; debt consolidation; and partial or total debt forgiveness.</w:t>
      </w:r>
    </w:p>
  </w:footnote>
  <w:footnote w:id="54">
    <w:p w14:paraId="6F6F740E" w14:textId="77777777" w:rsidR="00C859A0" w:rsidRPr="00777703" w:rsidRDefault="00C859A0" w:rsidP="00FB7DCE">
      <w:pPr>
        <w:pStyle w:val="FootnoteText"/>
        <w:spacing w:before="0" w:after="0" w:line="240" w:lineRule="auto"/>
        <w:rPr>
          <w:szCs w:val="20"/>
          <w:lang w:val="en-IE"/>
        </w:rPr>
      </w:pPr>
      <w:r w:rsidRPr="00777703">
        <w:rPr>
          <w:rStyle w:val="FootnoteCharacters"/>
          <w:szCs w:val="20"/>
          <w:vertAlign w:val="superscript"/>
          <w:lang w:val="en-IE"/>
        </w:rPr>
        <w:footnoteRef/>
      </w:r>
      <w:r w:rsidRPr="00777703">
        <w:rPr>
          <w:szCs w:val="20"/>
          <w:lang w:val="en-IE"/>
        </w:rPr>
        <w:t xml:space="preserve"> </w:t>
      </w:r>
      <w:r w:rsidRPr="00777703">
        <w:rPr>
          <w:szCs w:val="20"/>
          <w:lang w:val="en-IE"/>
        </w:rPr>
        <w:t>Art 765a (1) ZPO.</w:t>
      </w:r>
    </w:p>
  </w:footnote>
  <w:footnote w:id="55">
    <w:p w14:paraId="21C42889"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In Poland this does not apply to squatters.</w:t>
      </w:r>
    </w:p>
  </w:footnote>
  <w:footnote w:id="56">
    <w:p w14:paraId="7D53E0EA"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D </w:t>
      </w:r>
      <w:proofErr w:type="spellStart"/>
      <w:r w:rsidRPr="00395E14">
        <w:rPr>
          <w:szCs w:val="20"/>
        </w:rPr>
        <w:t>Wewerinke</w:t>
      </w:r>
      <w:proofErr w:type="spellEnd"/>
      <w:r w:rsidRPr="00395E14">
        <w:rPr>
          <w:szCs w:val="20"/>
        </w:rPr>
        <w:t xml:space="preserve">, W De Graaf, L van </w:t>
      </w:r>
      <w:proofErr w:type="spellStart"/>
      <w:r w:rsidRPr="00395E14">
        <w:rPr>
          <w:szCs w:val="20"/>
        </w:rPr>
        <w:t>Doorn</w:t>
      </w:r>
      <w:proofErr w:type="spellEnd"/>
      <w:r w:rsidRPr="00395E14">
        <w:rPr>
          <w:szCs w:val="20"/>
        </w:rPr>
        <w:t xml:space="preserve"> and J Wolf, </w:t>
      </w:r>
      <w:proofErr w:type="spellStart"/>
      <w:r w:rsidRPr="00395E14">
        <w:rPr>
          <w:i/>
          <w:szCs w:val="20"/>
        </w:rPr>
        <w:t>Huurders</w:t>
      </w:r>
      <w:proofErr w:type="spellEnd"/>
      <w:r w:rsidRPr="00395E14">
        <w:rPr>
          <w:i/>
          <w:szCs w:val="20"/>
        </w:rPr>
        <w:t xml:space="preserve"> over </w:t>
      </w:r>
      <w:proofErr w:type="spellStart"/>
      <w:r w:rsidRPr="00395E14">
        <w:rPr>
          <w:i/>
          <w:szCs w:val="20"/>
        </w:rPr>
        <w:t>een</w:t>
      </w:r>
      <w:proofErr w:type="spellEnd"/>
      <w:r w:rsidRPr="00395E14">
        <w:rPr>
          <w:i/>
          <w:szCs w:val="20"/>
        </w:rPr>
        <w:t xml:space="preserve"> </w:t>
      </w:r>
      <w:proofErr w:type="spellStart"/>
      <w:r w:rsidRPr="00395E14">
        <w:rPr>
          <w:i/>
          <w:szCs w:val="20"/>
        </w:rPr>
        <w:t>dreigende</w:t>
      </w:r>
      <w:proofErr w:type="spellEnd"/>
      <w:r w:rsidRPr="00395E14">
        <w:rPr>
          <w:i/>
          <w:szCs w:val="20"/>
        </w:rPr>
        <w:t xml:space="preserve"> </w:t>
      </w:r>
      <w:proofErr w:type="spellStart"/>
      <w:r w:rsidRPr="00395E14">
        <w:rPr>
          <w:i/>
          <w:szCs w:val="20"/>
        </w:rPr>
        <w:t>huisuitzetting</w:t>
      </w:r>
      <w:proofErr w:type="spellEnd"/>
      <w:r w:rsidRPr="00395E14">
        <w:rPr>
          <w:szCs w:val="20"/>
        </w:rPr>
        <w:t xml:space="preserve"> (Nijmegen, RUMC 2014) 54.</w:t>
      </w:r>
    </w:p>
  </w:footnote>
  <w:footnote w:id="57">
    <w:p w14:paraId="15E86659"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G Schout, G De Jong and I Van </w:t>
      </w:r>
      <w:proofErr w:type="spellStart"/>
      <w:r w:rsidRPr="00395E14">
        <w:rPr>
          <w:szCs w:val="20"/>
        </w:rPr>
        <w:t>Laere</w:t>
      </w:r>
      <w:proofErr w:type="spellEnd"/>
      <w:r w:rsidRPr="00395E14">
        <w:rPr>
          <w:szCs w:val="20"/>
        </w:rPr>
        <w:t xml:space="preserve">, ‘Pathways toward evictions: an exploratory study of the inter-relational dynamics between evictees and service providers in the Netherlands’ (2015) 30 (2) </w:t>
      </w:r>
      <w:r w:rsidRPr="00777703">
        <w:rPr>
          <w:i/>
          <w:szCs w:val="20"/>
        </w:rPr>
        <w:t xml:space="preserve">Journal of Housing and the Built Environment </w:t>
      </w:r>
      <w:r w:rsidRPr="00777703">
        <w:rPr>
          <w:szCs w:val="20"/>
        </w:rPr>
        <w:t>183–198.</w:t>
      </w:r>
    </w:p>
  </w:footnote>
  <w:footnote w:id="58">
    <w:p w14:paraId="0FAB2932"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See UN OHCHR (n 9) </w:t>
      </w:r>
      <w:r w:rsidRPr="00395E14">
        <w:rPr>
          <w:rFonts w:eastAsia="MS Mincho"/>
          <w:szCs w:val="20"/>
          <w:lang w:val="en-IE" w:eastAsia="ja-JP"/>
        </w:rPr>
        <w:t>1.</w:t>
      </w:r>
    </w:p>
  </w:footnote>
  <w:footnote w:id="59">
    <w:p w14:paraId="345813DE" w14:textId="77777777" w:rsidR="00C859A0" w:rsidRPr="00777703" w:rsidRDefault="00C859A0" w:rsidP="00FB7DCE">
      <w:pPr>
        <w:tabs>
          <w:tab w:val="left" w:pos="567"/>
        </w:tabs>
        <w:spacing w:before="0" w:after="0" w:line="240" w:lineRule="auto"/>
        <w:rPr>
          <w:sz w:val="20"/>
          <w:szCs w:val="20"/>
        </w:rPr>
      </w:pPr>
      <w:r w:rsidRPr="00395E14">
        <w:rPr>
          <w:rStyle w:val="FootnoteindChar"/>
          <w:rFonts w:eastAsia="MS Mincho"/>
          <w:szCs w:val="20"/>
        </w:rPr>
        <w:footnoteRef/>
      </w:r>
      <w:r w:rsidRPr="00395E14">
        <w:rPr>
          <w:sz w:val="20"/>
          <w:szCs w:val="20"/>
        </w:rPr>
        <w:t xml:space="preserve"> B </w:t>
      </w:r>
      <w:r w:rsidRPr="00777703">
        <w:rPr>
          <w:sz w:val="20"/>
          <w:szCs w:val="20"/>
        </w:rPr>
        <w:t xml:space="preserve">Bengtsson, S Fitzpatrick and B Watts, ‘Rights to housing: reviewing the terrain and exploring a way forward, housing’ (2014) 31 (4) </w:t>
      </w:r>
      <w:r w:rsidRPr="00777703">
        <w:rPr>
          <w:i/>
          <w:sz w:val="20"/>
          <w:szCs w:val="20"/>
        </w:rPr>
        <w:t>Theory and Society</w:t>
      </w:r>
      <w:r w:rsidRPr="00777703">
        <w:rPr>
          <w:sz w:val="20"/>
          <w:szCs w:val="20"/>
        </w:rPr>
        <w:t xml:space="preserve"> 447–463</w:t>
      </w:r>
      <w:r w:rsidRPr="00395E14">
        <w:rPr>
          <w:sz w:val="20"/>
          <w:szCs w:val="20"/>
        </w:rPr>
        <w:t>; See also S Fick and M Vols</w:t>
      </w:r>
      <w:r w:rsidRPr="00777703">
        <w:rPr>
          <w:sz w:val="20"/>
          <w:szCs w:val="20"/>
        </w:rPr>
        <w:t>,</w:t>
      </w:r>
      <w:r w:rsidRPr="00395E14">
        <w:rPr>
          <w:sz w:val="20"/>
          <w:szCs w:val="20"/>
        </w:rPr>
        <w:t xml:space="preserve"> ‘Best protection against eviction? A comparative analysis of protection against evictions in the European Convention on Huma</w:t>
      </w:r>
      <w:r w:rsidRPr="00777703">
        <w:rPr>
          <w:sz w:val="20"/>
          <w:szCs w:val="20"/>
        </w:rPr>
        <w:t xml:space="preserve">n Rights and the South African Constitution’ (2016) 3 </w:t>
      </w:r>
      <w:r w:rsidRPr="00777703">
        <w:rPr>
          <w:i/>
          <w:sz w:val="20"/>
          <w:szCs w:val="20"/>
        </w:rPr>
        <w:t>European Journal of Comparative Law and Governance</w:t>
      </w:r>
      <w:r w:rsidRPr="00777703">
        <w:rPr>
          <w:sz w:val="20"/>
          <w:szCs w:val="20"/>
        </w:rPr>
        <w:t xml:space="preserve"> 40–69; S </w:t>
      </w:r>
      <w:proofErr w:type="spellStart"/>
      <w:r w:rsidRPr="00777703">
        <w:rPr>
          <w:rStyle w:val="Emphasis"/>
          <w:i w:val="0"/>
          <w:sz w:val="20"/>
          <w:szCs w:val="20"/>
        </w:rPr>
        <w:t>Gerull</w:t>
      </w:r>
      <w:proofErr w:type="spellEnd"/>
      <w:r w:rsidRPr="00777703">
        <w:rPr>
          <w:rStyle w:val="Emphasis"/>
          <w:i w:val="0"/>
          <w:sz w:val="20"/>
          <w:szCs w:val="20"/>
        </w:rPr>
        <w:t>,</w:t>
      </w:r>
      <w:r w:rsidRPr="00777703">
        <w:rPr>
          <w:sz w:val="20"/>
          <w:szCs w:val="20"/>
        </w:rPr>
        <w:t xml:space="preserve"> ‘Evictions due to rent arrears: a comparative analysis of evictions in 14 countries’ </w:t>
      </w:r>
      <w:r w:rsidRPr="00777703">
        <w:rPr>
          <w:iCs/>
          <w:sz w:val="20"/>
          <w:szCs w:val="20"/>
        </w:rPr>
        <w:t>(2014)</w:t>
      </w:r>
      <w:r w:rsidRPr="00777703">
        <w:rPr>
          <w:sz w:val="20"/>
          <w:szCs w:val="20"/>
        </w:rPr>
        <w:t xml:space="preserve"> 2 </w:t>
      </w:r>
      <w:r w:rsidRPr="00777703">
        <w:rPr>
          <w:i/>
          <w:sz w:val="20"/>
          <w:szCs w:val="20"/>
        </w:rPr>
        <w:t>European Journal of Homelessness</w:t>
      </w:r>
      <w:r w:rsidRPr="00777703">
        <w:rPr>
          <w:sz w:val="20"/>
          <w:szCs w:val="20"/>
        </w:rPr>
        <w:t xml:space="preserve"> 137–155.</w:t>
      </w:r>
    </w:p>
  </w:footnote>
  <w:footnote w:id="60">
    <w:p w14:paraId="31FF0809" w14:textId="77777777" w:rsidR="00C859A0" w:rsidRPr="00777703" w:rsidRDefault="00C859A0" w:rsidP="00FB7DCE">
      <w:pPr>
        <w:tabs>
          <w:tab w:val="left" w:pos="567"/>
        </w:tabs>
        <w:spacing w:before="0" w:after="0" w:line="240" w:lineRule="auto"/>
        <w:rPr>
          <w:sz w:val="20"/>
          <w:szCs w:val="20"/>
        </w:rPr>
      </w:pPr>
      <w:r w:rsidRPr="00777703">
        <w:rPr>
          <w:rStyle w:val="FootnoteReference"/>
          <w:sz w:val="20"/>
          <w:szCs w:val="20"/>
          <w:lang w:val="en-IE"/>
        </w:rPr>
        <w:footnoteRef/>
      </w:r>
      <w:r w:rsidRPr="00777703">
        <w:rPr>
          <w:sz w:val="20"/>
          <w:szCs w:val="20"/>
          <w:lang w:val="en-IE"/>
        </w:rPr>
        <w:t xml:space="preserve"> </w:t>
      </w:r>
      <w:r w:rsidRPr="00777703">
        <w:rPr>
          <w:sz w:val="20"/>
          <w:szCs w:val="20"/>
          <w:lang w:val="en-IE"/>
        </w:rPr>
        <w:t xml:space="preserve">M </w:t>
      </w:r>
      <w:r w:rsidRPr="00777703">
        <w:rPr>
          <w:sz w:val="20"/>
          <w:szCs w:val="20"/>
        </w:rPr>
        <w:t xml:space="preserve">Oren, R Alterman and Y </w:t>
      </w:r>
      <w:proofErr w:type="spellStart"/>
      <w:r w:rsidRPr="00777703">
        <w:rPr>
          <w:sz w:val="20"/>
          <w:szCs w:val="20"/>
        </w:rPr>
        <w:t>Zilbershats</w:t>
      </w:r>
      <w:proofErr w:type="spellEnd"/>
      <w:r w:rsidRPr="00777703">
        <w:rPr>
          <w:sz w:val="20"/>
          <w:szCs w:val="20"/>
        </w:rPr>
        <w:t xml:space="preserve">, ‘Housing rights in constitutional legislation: a conceptual classification’ in P Kenna (ed) </w:t>
      </w:r>
      <w:r w:rsidRPr="00777703">
        <w:rPr>
          <w:i/>
          <w:sz w:val="20"/>
          <w:szCs w:val="20"/>
        </w:rPr>
        <w:t>Contemporary Housing Issues in a Globalized World</w:t>
      </w:r>
      <w:r w:rsidRPr="00777703">
        <w:rPr>
          <w:sz w:val="20"/>
          <w:szCs w:val="20"/>
        </w:rPr>
        <w:t xml:space="preserve"> (Aldershot, Ashgate 2014); </w:t>
      </w:r>
      <w:r w:rsidRPr="00395E14">
        <w:rPr>
          <w:sz w:val="20"/>
          <w:szCs w:val="20"/>
        </w:rPr>
        <w:t xml:space="preserve">P Kenna (ed) </w:t>
      </w:r>
      <w:r w:rsidRPr="00395E14">
        <w:rPr>
          <w:i/>
          <w:sz w:val="20"/>
          <w:szCs w:val="20"/>
        </w:rPr>
        <w:t>Contemporary Housing Issues in a Globalized World</w:t>
      </w:r>
      <w:r w:rsidRPr="00395E14">
        <w:rPr>
          <w:sz w:val="20"/>
          <w:szCs w:val="20"/>
        </w:rPr>
        <w:t xml:space="preserve"> (Aldershot, Ashgate 2014).</w:t>
      </w:r>
    </w:p>
  </w:footnote>
  <w:footnote w:id="61">
    <w:p w14:paraId="1FE419B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See Kenna et al (n 4).</w:t>
      </w:r>
    </w:p>
  </w:footnote>
  <w:footnote w:id="62">
    <w:p w14:paraId="0CBA354E"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szCs w:val="20"/>
          <w:lang w:val="en-IE"/>
        </w:rPr>
        <w:t xml:space="preserve"> </w:t>
      </w:r>
      <w:r w:rsidRPr="00777703">
        <w:rPr>
          <w:szCs w:val="20"/>
          <w:lang w:val="en-IE"/>
        </w:rPr>
        <w:t>Significantly, the Tenants Charter of the International Union of Tenants 2004, Article IX (b), suggests that ‘[E]</w:t>
      </w:r>
      <w:proofErr w:type="spellStart"/>
      <w:r w:rsidRPr="00777703">
        <w:rPr>
          <w:szCs w:val="20"/>
          <w:lang w:val="en-IE"/>
        </w:rPr>
        <w:t>victions</w:t>
      </w:r>
      <w:proofErr w:type="spellEnd"/>
      <w:r w:rsidRPr="00777703">
        <w:rPr>
          <w:szCs w:val="20"/>
          <w:lang w:val="en-IE"/>
        </w:rPr>
        <w:t xml:space="preserve"> on social causes cannot be accepted without the tenant obtaining another dwelling’</w:t>
      </w:r>
      <w:r w:rsidRPr="00395E14">
        <w:rPr>
          <w:szCs w:val="20"/>
          <w:lang w:val="en-IE"/>
        </w:rPr>
        <w:t xml:space="preserve"> &lt;</w:t>
      </w:r>
      <w:hyperlink r:id="rId6" w:anchor="Tenants_Charter" w:history="1">
        <w:r w:rsidRPr="00777703">
          <w:rPr>
            <w:rStyle w:val="Hyperlink"/>
            <w:color w:val="auto"/>
            <w:szCs w:val="20"/>
            <w:u w:val="none"/>
            <w:lang w:val="en-IE"/>
          </w:rPr>
          <w:t>http://www.iut.nu/aboutiut.htm#Tenants_Charter</w:t>
        </w:r>
      </w:hyperlink>
      <w:r w:rsidRPr="00777703">
        <w:rPr>
          <w:rStyle w:val="Hyperlink"/>
          <w:color w:val="auto"/>
          <w:szCs w:val="20"/>
          <w:u w:val="none"/>
          <w:lang w:val="en-IE"/>
        </w:rPr>
        <w:t>&gt;.</w:t>
      </w:r>
    </w:p>
  </w:footnote>
  <w:footnote w:id="63">
    <w:p w14:paraId="5E9BA5EF"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szCs w:val="20"/>
          <w:lang w:val="en-IE"/>
        </w:rPr>
        <w:t xml:space="preserve"> </w:t>
      </w:r>
      <w:r w:rsidRPr="00777703">
        <w:rPr>
          <w:szCs w:val="20"/>
          <w:lang w:val="en-IE"/>
        </w:rPr>
        <w:t xml:space="preserve">The EU Pilot Project Report recommended the development of a </w:t>
      </w:r>
      <w:proofErr w:type="spellStart"/>
      <w:r w:rsidRPr="00777703">
        <w:rPr>
          <w:szCs w:val="20"/>
          <w:lang w:val="en-IE"/>
        </w:rPr>
        <w:t>prohibitory</w:t>
      </w:r>
      <w:proofErr w:type="spellEnd"/>
      <w:r w:rsidRPr="00777703">
        <w:rPr>
          <w:szCs w:val="20"/>
          <w:lang w:val="en-IE"/>
        </w:rPr>
        <w:t xml:space="preserve"> injunction against illegal or unauthorised evictions similar to that in environmental cases and consumer protection under Directive 98/27/</w:t>
      </w:r>
      <w:r w:rsidRPr="00395E14">
        <w:rPr>
          <w:szCs w:val="20"/>
        </w:rPr>
        <w:t>EC of the European Parliament and of the Council of 19 May 1998 on injunctions for the protection of consumers’ interests, 11 June 1998, OJ</w:t>
      </w:r>
      <w:r w:rsidRPr="00777703">
        <w:rPr>
          <w:szCs w:val="20"/>
        </w:rPr>
        <w:t>L 166/51</w:t>
      </w:r>
      <w:r w:rsidRPr="00395E14">
        <w:rPr>
          <w:szCs w:val="20"/>
        </w:rPr>
        <w:t>.</w:t>
      </w:r>
    </w:p>
  </w:footnote>
  <w:footnote w:id="64">
    <w:p w14:paraId="1439AF4C"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See J Hohmann,</w:t>
      </w:r>
      <w:r w:rsidRPr="00395E14">
        <w:rPr>
          <w:i/>
          <w:szCs w:val="20"/>
          <w:lang w:val="en-IE"/>
        </w:rPr>
        <w:t xml:space="preserve"> The Right to Housing: Law, Concepts, Possibilities</w:t>
      </w:r>
      <w:r w:rsidRPr="00395E14">
        <w:rPr>
          <w:szCs w:val="20"/>
          <w:lang w:val="en-IE"/>
        </w:rPr>
        <w:t xml:space="preserve"> (Oxford, Hart 2013); M </w:t>
      </w:r>
      <w:proofErr w:type="spellStart"/>
      <w:r w:rsidRPr="00395E14">
        <w:rPr>
          <w:szCs w:val="20"/>
          <w:lang w:val="en-IE"/>
        </w:rPr>
        <w:t>Kolocek</w:t>
      </w:r>
      <w:proofErr w:type="spellEnd"/>
      <w:r w:rsidRPr="00395E14">
        <w:rPr>
          <w:szCs w:val="20"/>
          <w:lang w:val="en-IE"/>
        </w:rPr>
        <w:t xml:space="preserve">, </w:t>
      </w:r>
      <w:r w:rsidRPr="00395E14">
        <w:rPr>
          <w:i/>
          <w:szCs w:val="20"/>
          <w:lang w:val="en-IE"/>
        </w:rPr>
        <w:t>The Human Right to Housing in the Face of Land Policy and Social Citizenship – A Global Discourse Analysis</w:t>
      </w:r>
      <w:r w:rsidRPr="00777703">
        <w:rPr>
          <w:szCs w:val="20"/>
          <w:lang w:val="en-IE"/>
        </w:rPr>
        <w:t xml:space="preserve"> (London, Palgrave Macmillan 2017); N </w:t>
      </w:r>
      <w:r w:rsidRPr="00777703">
        <w:rPr>
          <w:rFonts w:eastAsia="MS Mincho"/>
          <w:szCs w:val="20"/>
          <w:lang w:val="en-IE" w:eastAsia="ja-JP"/>
        </w:rPr>
        <w:t>Moons,</w:t>
      </w:r>
      <w:r w:rsidRPr="00777703">
        <w:rPr>
          <w:rFonts w:eastAsia="MS Mincho"/>
          <w:i/>
          <w:iCs/>
          <w:szCs w:val="20"/>
          <w:lang w:val="en-IE" w:eastAsia="ja-JP"/>
        </w:rPr>
        <w:t xml:space="preserve"> The Right to Housing in Law and Society</w:t>
      </w:r>
      <w:r w:rsidRPr="00777703">
        <w:rPr>
          <w:rFonts w:eastAsia="MS Mincho"/>
          <w:szCs w:val="20"/>
          <w:lang w:val="en-IE" w:eastAsia="ja-JP"/>
        </w:rPr>
        <w:t xml:space="preserve"> (Abingdon, Routledge 2018).</w:t>
      </w:r>
    </w:p>
  </w:footnote>
  <w:footnote w:id="65">
    <w:p w14:paraId="0406B88D" w14:textId="77777777" w:rsidR="00C859A0" w:rsidRPr="00777703" w:rsidRDefault="00C859A0" w:rsidP="00FB7DCE">
      <w:pPr>
        <w:tabs>
          <w:tab w:val="left" w:pos="567"/>
        </w:tabs>
        <w:spacing w:before="0" w:after="0" w:line="240" w:lineRule="auto"/>
        <w:rPr>
          <w:sz w:val="20"/>
          <w:szCs w:val="20"/>
        </w:rPr>
      </w:pPr>
      <w:r w:rsidRPr="00395E14">
        <w:rPr>
          <w:rStyle w:val="FootnoteReference"/>
          <w:sz w:val="20"/>
          <w:szCs w:val="20"/>
          <w:lang w:val="en-IE"/>
        </w:rPr>
        <w:footnoteRef/>
      </w:r>
      <w:r w:rsidRPr="00395E14">
        <w:rPr>
          <w:iCs/>
          <w:sz w:val="20"/>
          <w:szCs w:val="20"/>
          <w:lang w:val="en-IE"/>
        </w:rPr>
        <w:t xml:space="preserve"> </w:t>
      </w:r>
      <w:r w:rsidRPr="00395E14">
        <w:rPr>
          <w:iCs/>
          <w:sz w:val="20"/>
          <w:szCs w:val="20"/>
          <w:lang w:val="en-IE"/>
        </w:rPr>
        <w:t>Art 11 International Covenant on Economic, Social and Cultural Rights (1966) UN Doc. A/6316. There are also a range of housing rights in relation to children, persons with disabilities, migrants and</w:t>
      </w:r>
      <w:r w:rsidRPr="00777703">
        <w:rPr>
          <w:iCs/>
          <w:sz w:val="20"/>
          <w:szCs w:val="20"/>
          <w:lang w:val="en-IE"/>
        </w:rPr>
        <w:t xml:space="preserve"> others groups at risk of eviction; See P </w:t>
      </w:r>
      <w:r w:rsidRPr="00777703">
        <w:rPr>
          <w:sz w:val="20"/>
          <w:szCs w:val="20"/>
        </w:rPr>
        <w:t xml:space="preserve">Kenna, ‘Can housing rights be applied to modern housing systems?’ (2010) 2 (2) </w:t>
      </w:r>
      <w:r w:rsidRPr="00777703">
        <w:rPr>
          <w:i/>
          <w:sz w:val="20"/>
          <w:szCs w:val="20"/>
        </w:rPr>
        <w:t>International Journal of Law in the Built Environment</w:t>
      </w:r>
      <w:r w:rsidRPr="00777703">
        <w:rPr>
          <w:sz w:val="20"/>
          <w:szCs w:val="20"/>
        </w:rPr>
        <w:t xml:space="preserve"> 103–117.</w:t>
      </w:r>
    </w:p>
  </w:footnote>
  <w:footnote w:id="66">
    <w:p w14:paraId="10E2A6B5"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szCs w:val="20"/>
          <w:lang w:val="en-IE"/>
        </w:rPr>
        <w:t xml:space="preserve"> </w:t>
      </w:r>
      <w:r w:rsidRPr="00777703">
        <w:rPr>
          <w:szCs w:val="20"/>
          <w:lang w:val="en-IE"/>
        </w:rPr>
        <w:t xml:space="preserve">Council of Europe, </w:t>
      </w:r>
      <w:r w:rsidRPr="00777703">
        <w:rPr>
          <w:bCs/>
          <w:spacing w:val="-2"/>
          <w:szCs w:val="20"/>
          <w:lang w:val="en-IE"/>
        </w:rPr>
        <w:t xml:space="preserve">European Treaty Series – No 35: </w:t>
      </w:r>
      <w:r w:rsidRPr="00777703">
        <w:rPr>
          <w:szCs w:val="20"/>
          <w:lang w:val="en-IE"/>
        </w:rPr>
        <w:t>European Social Charter, Turin, 18 October 1961. (Revised) Council of Europe, Strasbourg 3 May 1996, Articles 16, 30 and 31.</w:t>
      </w:r>
    </w:p>
  </w:footnote>
  <w:footnote w:id="67">
    <w:p w14:paraId="62222B0B"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All EU Member States have adopted the ICESCR.</w:t>
      </w:r>
    </w:p>
  </w:footnote>
  <w:footnote w:id="68">
    <w:p w14:paraId="53DA352A"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rFonts w:eastAsia="MS Mincho"/>
          <w:szCs w:val="20"/>
          <w:lang w:val="en-IE"/>
        </w:rPr>
        <w:t>UN Committee on Economic, Social and Cultural Rights (UN CESCR), General Comment No 7 (1997)</w:t>
      </w:r>
      <w:r w:rsidRPr="00395E14">
        <w:rPr>
          <w:i/>
          <w:szCs w:val="20"/>
          <w:lang w:val="en-IE"/>
        </w:rPr>
        <w:t xml:space="preserve"> </w:t>
      </w:r>
      <w:r w:rsidRPr="00395E14">
        <w:rPr>
          <w:szCs w:val="20"/>
          <w:lang w:val="en-IE"/>
        </w:rPr>
        <w:t>(n 23).</w:t>
      </w:r>
    </w:p>
  </w:footnote>
  <w:footnote w:id="69">
    <w:p w14:paraId="753662DF"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According to the UN CESCR, General Comment No 7 (1997) </w:t>
      </w:r>
      <w:r w:rsidRPr="00395E14">
        <w:rPr>
          <w:szCs w:val="20"/>
          <w:lang w:val="en-IE"/>
        </w:rPr>
        <w:t>(n 23)</w:t>
      </w:r>
      <w:r w:rsidRPr="00395E14">
        <w:rPr>
          <w:szCs w:val="20"/>
        </w:rPr>
        <w:t>.</w:t>
      </w:r>
    </w:p>
  </w:footnote>
  <w:footnote w:id="70">
    <w:p w14:paraId="427C0451"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UN CESCR, General Comment No 7 (1997) (n 23) 4, </w:t>
      </w:r>
      <w:r w:rsidRPr="00395E14">
        <w:rPr>
          <w:iCs/>
          <w:szCs w:val="20"/>
          <w:lang w:val="en-IE"/>
        </w:rPr>
        <w:t>para 15 (d).</w:t>
      </w:r>
    </w:p>
  </w:footnote>
  <w:footnote w:id="71">
    <w:p w14:paraId="2ABE6248"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UN CESCR, General Comment No 7 (1997) (n 23) 5, para 16.</w:t>
      </w:r>
    </w:p>
  </w:footnote>
  <w:footnote w:id="72">
    <w:p w14:paraId="64CD293D"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UN CESCR, General Comment No 3</w:t>
      </w:r>
      <w:r w:rsidRPr="00395E14">
        <w:rPr>
          <w:szCs w:val="20"/>
        </w:rPr>
        <w:t>: The Nature of States Parties’ Obligations (Art 2, Para 1 of the Covenant) 14 December 1990, E/1991/23 (Adopted at the Fifth Session of the Committee on Economic, Social and Cultural Rights).</w:t>
      </w:r>
    </w:p>
  </w:footnote>
  <w:footnote w:id="73">
    <w:p w14:paraId="2DB3F522" w14:textId="77777777" w:rsidR="00C859A0" w:rsidRPr="00395E14" w:rsidRDefault="00C859A0" w:rsidP="00FB7DCE">
      <w:pPr>
        <w:pStyle w:val="FootnoteText"/>
        <w:widowControl w:val="0"/>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UN CESCR, General Comment No 4: </w:t>
      </w:r>
      <w:r w:rsidRPr="00395E14">
        <w:rPr>
          <w:szCs w:val="20"/>
        </w:rPr>
        <w:t xml:space="preserve">The Right to Adequate Housing (Art 11 (1) of the Covenant). Adopted at the Sixth Session of the Committee on Economic, Social and Cultural Rights, on 13 December 1991. </w:t>
      </w:r>
      <w:r w:rsidRPr="00777703">
        <w:rPr>
          <w:szCs w:val="20"/>
        </w:rPr>
        <w:t>(</w:t>
      </w:r>
      <w:r w:rsidRPr="00395E14">
        <w:rPr>
          <w:szCs w:val="20"/>
        </w:rPr>
        <w:t>Contained in Document E/1992/23),</w:t>
      </w:r>
      <w:r w:rsidRPr="00395E14">
        <w:rPr>
          <w:szCs w:val="20"/>
          <w:lang w:val="en-IE"/>
        </w:rPr>
        <w:t xml:space="preserve"> para 8 (c).</w:t>
      </w:r>
    </w:p>
  </w:footnote>
  <w:footnote w:id="74">
    <w:p w14:paraId="6BCFE95F" w14:textId="77777777" w:rsidR="00C859A0" w:rsidRPr="00777703" w:rsidRDefault="00C859A0" w:rsidP="00FB7DCE">
      <w:pPr>
        <w:pStyle w:val="FootnoteText"/>
        <w:widowControl w:val="0"/>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UN CESCR, General Comment No 3</w:t>
      </w:r>
      <w:r w:rsidRPr="00395E14">
        <w:rPr>
          <w:szCs w:val="20"/>
        </w:rPr>
        <w:t>: The Nature of States Parties’ Obligations (Art 2, Para 1 of the Covenant</w:t>
      </w:r>
      <w:r w:rsidRPr="00777703">
        <w:rPr>
          <w:szCs w:val="20"/>
        </w:rPr>
        <w:t>) 14 December 1990, E/1991/23 (Adopted at the Fifth Session of the Committee on Economic, Social and Cultural Rights).</w:t>
      </w:r>
      <w:r w:rsidRPr="00777703">
        <w:rPr>
          <w:szCs w:val="20"/>
          <w:lang w:val="en-IE"/>
        </w:rPr>
        <w:t xml:space="preserve"> See also the letter of 16 May 2012 from the Chair of the Committee to the States Parties to the Covenant.</w:t>
      </w:r>
    </w:p>
  </w:footnote>
  <w:footnote w:id="75">
    <w:p w14:paraId="2238E16B" w14:textId="77777777" w:rsidR="00C859A0" w:rsidRPr="00777703" w:rsidRDefault="00C859A0" w:rsidP="00FB7DCE">
      <w:pPr>
        <w:pStyle w:val="FootnoteText"/>
        <w:widowControl w:val="0"/>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See, for example, the submission in this case of the Special Rapporteur on adequate housing as a component of the right to an adequate standard of living, and on the right to non-discrimination in this context, and her report (A/HRC/31/54, paras 28–38). See also UN Doc. A/72/128, Farh</w:t>
      </w:r>
      <w:r w:rsidRPr="00777703">
        <w:rPr>
          <w:szCs w:val="20"/>
          <w:lang w:val="en-IE"/>
        </w:rPr>
        <w:t>a, L, UN Special Rapporteur, ‘Adequate housing as a component of the right to an adequate standard of living, and the right to non-discrimination in this context’ and UN, Committee on the Rights of Persons with Disabilities, General Comment on Article 19: Living independently and being included in the community. UN Doc. CRPD/C/18/1.</w:t>
      </w:r>
    </w:p>
  </w:footnote>
  <w:footnote w:id="76">
    <w:p w14:paraId="7B2C7BBE" w14:textId="77777777" w:rsidR="00C859A0" w:rsidRPr="00395E14" w:rsidRDefault="00C859A0" w:rsidP="00FB7DCE">
      <w:pPr>
        <w:pStyle w:val="FootnoteText"/>
        <w:spacing w:before="0" w:after="0" w:line="240" w:lineRule="auto"/>
        <w:rPr>
          <w:szCs w:val="20"/>
        </w:rPr>
      </w:pPr>
      <w:r w:rsidRPr="00395E14">
        <w:rPr>
          <w:szCs w:val="20"/>
          <w:vertAlign w:val="superscript"/>
        </w:rPr>
        <w:footnoteRef/>
      </w:r>
      <w:r w:rsidRPr="00395E14">
        <w:rPr>
          <w:szCs w:val="20"/>
        </w:rPr>
        <w:t xml:space="preserve"> UN CESCR, Communication No 2/2014, Views adopted by the Committee at its fifty-fifth session (1–19 June 2015 Spain) UN Doc E/C.12/55/D/2/2014.</w:t>
      </w:r>
    </w:p>
  </w:footnote>
  <w:footnote w:id="77">
    <w:p w14:paraId="749418DD"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Pr>
          <w:szCs w:val="20"/>
          <w:lang w:val="en-IE"/>
        </w:rPr>
        <w:t>Ibid</w:t>
      </w:r>
      <w:r w:rsidRPr="00395E14">
        <w:rPr>
          <w:szCs w:val="20"/>
          <w:lang w:val="en-IE"/>
        </w:rPr>
        <w:t xml:space="preserve"> para 13.7.</w:t>
      </w:r>
    </w:p>
  </w:footnote>
  <w:footnote w:id="78">
    <w:p w14:paraId="708AC567" w14:textId="77777777" w:rsidR="00C859A0" w:rsidRPr="00395E14" w:rsidRDefault="00C859A0" w:rsidP="00C34CEE">
      <w:pPr>
        <w:spacing w:before="0" w:after="0" w:line="240" w:lineRule="auto"/>
        <w:rPr>
          <w:sz w:val="20"/>
          <w:szCs w:val="20"/>
          <w:lang w:val="en-IE"/>
        </w:rPr>
      </w:pPr>
      <w:r w:rsidRPr="00395E14">
        <w:rPr>
          <w:rStyle w:val="FootnoteReference"/>
          <w:sz w:val="20"/>
          <w:szCs w:val="20"/>
          <w:lang w:val="en-IE"/>
        </w:rPr>
        <w:footnoteRef/>
      </w:r>
      <w:r w:rsidRPr="00395E14">
        <w:rPr>
          <w:sz w:val="20"/>
          <w:szCs w:val="20"/>
          <w:lang w:val="en-IE"/>
        </w:rPr>
        <w:t xml:space="preserve"> </w:t>
      </w:r>
      <w:r w:rsidRPr="00395E14">
        <w:rPr>
          <w:sz w:val="20"/>
          <w:szCs w:val="20"/>
          <w:lang w:val="en-IE"/>
        </w:rPr>
        <w:t xml:space="preserve">See </w:t>
      </w:r>
      <w:r w:rsidRPr="00777703">
        <w:rPr>
          <w:sz w:val="20"/>
          <w:szCs w:val="20"/>
        </w:rPr>
        <w:t>UN Doc. E/C.12/61/D/5/2015, Committee on Economic, Social and Cultural Rights. Views adopted by the Committee under the Optional Protocol to the International Covenant on Economic, Social and Cultural Rights with regard to communication No. 5/2015. Adopted by the Committee at its sixty-first session (29 May–23 June 2017).</w:t>
      </w:r>
    </w:p>
  </w:footnote>
  <w:footnote w:id="79">
    <w:p w14:paraId="16C3E8A5"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Pr>
          <w:szCs w:val="20"/>
          <w:lang w:val="en-IE"/>
        </w:rPr>
        <w:t>Ibid</w:t>
      </w:r>
      <w:r w:rsidRPr="00395E14">
        <w:rPr>
          <w:szCs w:val="20"/>
          <w:lang w:val="en-IE"/>
        </w:rPr>
        <w:t xml:space="preserve"> para 14.1.</w:t>
      </w:r>
    </w:p>
  </w:footnote>
  <w:footnote w:id="80">
    <w:p w14:paraId="74C0CEE4"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Pr>
          <w:szCs w:val="20"/>
          <w:lang w:val="en-US"/>
        </w:rPr>
        <w:t>Ibid</w:t>
      </w:r>
      <w:r w:rsidRPr="00395E14">
        <w:rPr>
          <w:szCs w:val="20"/>
          <w:lang w:val="en-US"/>
        </w:rPr>
        <w:t xml:space="preserve"> para 14.2. </w:t>
      </w:r>
    </w:p>
  </w:footnote>
  <w:footnote w:id="81">
    <w:p w14:paraId="23CDEF93"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Pr>
          <w:szCs w:val="20"/>
          <w:lang w:val="en-IE"/>
        </w:rPr>
        <w:t>Ibid</w:t>
      </w:r>
      <w:r w:rsidRPr="00395E14">
        <w:rPr>
          <w:szCs w:val="20"/>
          <w:lang w:val="en-IE"/>
        </w:rPr>
        <w:t xml:space="preserve"> para 15.1.</w:t>
      </w:r>
    </w:p>
  </w:footnote>
  <w:footnote w:id="82">
    <w:p w14:paraId="2E6C9FDD" w14:textId="77777777" w:rsidR="00C859A0" w:rsidRPr="00395E14" w:rsidRDefault="00C859A0" w:rsidP="00FB7DCE">
      <w:pPr>
        <w:spacing w:before="0" w:after="0" w:line="240" w:lineRule="auto"/>
        <w:rPr>
          <w:sz w:val="20"/>
          <w:szCs w:val="20"/>
          <w:lang w:val="en-US"/>
        </w:rPr>
      </w:pPr>
      <w:r w:rsidRPr="00395E14">
        <w:rPr>
          <w:rStyle w:val="FootnoteReference"/>
          <w:sz w:val="20"/>
          <w:szCs w:val="20"/>
        </w:rPr>
        <w:footnoteRef/>
      </w:r>
      <w:r w:rsidRPr="00395E14">
        <w:rPr>
          <w:sz w:val="20"/>
          <w:szCs w:val="20"/>
        </w:rPr>
        <w:t xml:space="preserve"> See UN Doc. </w:t>
      </w:r>
      <w:r w:rsidRPr="00777703">
        <w:rPr>
          <w:rFonts w:eastAsia="MS Mincho"/>
          <w:sz w:val="20"/>
          <w:szCs w:val="20"/>
          <w:lang w:val="en-US" w:eastAsia="ja-JP"/>
        </w:rPr>
        <w:t xml:space="preserve">See A/RES/70/1. </w:t>
      </w:r>
      <w:r w:rsidRPr="00395E14">
        <w:rPr>
          <w:sz w:val="20"/>
          <w:szCs w:val="20"/>
        </w:rPr>
        <w:t>SDG 11 provides targets for building sustainable cities and communities.</w:t>
      </w:r>
    </w:p>
  </w:footnote>
  <w:footnote w:id="83">
    <w:p w14:paraId="183DA36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szCs w:val="20"/>
          <w:lang w:val="en-IE"/>
        </w:rPr>
        <w:t xml:space="preserve"> </w:t>
      </w:r>
      <w:r w:rsidRPr="00777703">
        <w:rPr>
          <w:szCs w:val="20"/>
          <w:lang w:val="en-IE"/>
        </w:rPr>
        <w:t xml:space="preserve">Council of Europe, </w:t>
      </w:r>
      <w:r w:rsidRPr="00777703">
        <w:rPr>
          <w:bCs/>
          <w:spacing w:val="-2"/>
          <w:szCs w:val="20"/>
          <w:lang w:val="en-IE"/>
        </w:rPr>
        <w:t xml:space="preserve">European Treaty Series – No 35; </w:t>
      </w:r>
      <w:r w:rsidRPr="00777703">
        <w:rPr>
          <w:szCs w:val="20"/>
          <w:lang w:val="en-IE"/>
        </w:rPr>
        <w:t xml:space="preserve">European Social Charter (Revised) Council of Europe, Strasbourg, 3 May 1996. </w:t>
      </w:r>
      <w:r w:rsidRPr="00395E14">
        <w:rPr>
          <w:szCs w:val="20"/>
          <w:lang w:val="en-IE"/>
        </w:rPr>
        <w:t>See &lt;</w:t>
      </w:r>
      <w:hyperlink r:id="rId7" w:history="1">
        <w:r w:rsidRPr="00777703">
          <w:rPr>
            <w:rStyle w:val="Hyperlink"/>
            <w:color w:val="auto"/>
            <w:szCs w:val="20"/>
            <w:u w:val="none"/>
            <w:lang w:val="en-IE"/>
          </w:rPr>
          <w:t>http://www.coe.int/t/dghl/monitoring/socialcharter/Presentation/AboutCharter_en.asp</w:t>
        </w:r>
      </w:hyperlink>
      <w:r w:rsidRPr="00777703">
        <w:rPr>
          <w:rStyle w:val="Hyperlink"/>
          <w:color w:val="auto"/>
          <w:szCs w:val="20"/>
          <w:u w:val="none"/>
          <w:lang w:val="en-IE"/>
        </w:rPr>
        <w:t>&gt;</w:t>
      </w:r>
      <w:r w:rsidRPr="00395E14">
        <w:rPr>
          <w:szCs w:val="20"/>
          <w:lang w:val="en-IE"/>
        </w:rPr>
        <w:t xml:space="preserve">. These </w:t>
      </w:r>
      <w:r w:rsidRPr="00777703">
        <w:rPr>
          <w:szCs w:val="20"/>
          <w:lang w:val="en-IE"/>
        </w:rPr>
        <w:t>c</w:t>
      </w:r>
      <w:r w:rsidRPr="00395E14">
        <w:rPr>
          <w:szCs w:val="20"/>
          <w:lang w:val="en-IE"/>
        </w:rPr>
        <w:t xml:space="preserve">harters include state obligations in relation to </w:t>
      </w:r>
      <w:r w:rsidRPr="00777703">
        <w:rPr>
          <w:szCs w:val="20"/>
        </w:rPr>
        <w:t>access to adequate and affordable housing; a reduction of homelessness; housing policy targeted at all disadvantaged categories; procedures to limit forced eviction; equal access for non-nationals to social housing and housing benefits; and housing construction and housing benefits related to family needs.</w:t>
      </w:r>
    </w:p>
  </w:footnote>
  <w:footnote w:id="84">
    <w:p w14:paraId="0FB1554C" w14:textId="77777777" w:rsidR="00C859A0" w:rsidRPr="00395E14" w:rsidRDefault="00C859A0" w:rsidP="00FB7DCE">
      <w:pPr>
        <w:pStyle w:val="FootnoteText"/>
        <w:spacing w:before="0" w:after="0" w:line="240" w:lineRule="auto"/>
        <w:rPr>
          <w:szCs w:val="20"/>
          <w:lang w:val="en-IE"/>
        </w:rPr>
      </w:pPr>
      <w:r w:rsidRPr="00395E14">
        <w:rPr>
          <w:rStyle w:val="FootnoteindChar"/>
          <w:szCs w:val="20"/>
        </w:rPr>
        <w:footnoteRef/>
      </w:r>
      <w:r w:rsidRPr="00395E14">
        <w:rPr>
          <w:szCs w:val="20"/>
        </w:rPr>
        <w:t xml:space="preserve"> Council of Europe (COE), Digest of the case law of the European Committee of Social Rights &lt;</w:t>
      </w:r>
      <w:hyperlink r:id="rId8" w:history="1">
        <w:r w:rsidRPr="00777703">
          <w:rPr>
            <w:rStyle w:val="Hyperlink"/>
            <w:color w:val="auto"/>
            <w:szCs w:val="20"/>
            <w:u w:val="none"/>
          </w:rPr>
          <w:t>https://rm.coe.int/CoERMPublicCommonSearchServices/DisplayDCTMContent?documentId=090000168049159f</w:t>
        </w:r>
      </w:hyperlink>
      <w:r w:rsidRPr="00395E14">
        <w:rPr>
          <w:szCs w:val="20"/>
        </w:rPr>
        <w:t>&gt;</w:t>
      </w:r>
      <w:r w:rsidRPr="00777703">
        <w:rPr>
          <w:szCs w:val="20"/>
        </w:rPr>
        <w:t>.</w:t>
      </w:r>
    </w:p>
  </w:footnote>
  <w:footnote w:id="85">
    <w:p w14:paraId="2121F9A9"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COE, European Committee on Social Rights (ECSR),</w:t>
      </w:r>
      <w:r w:rsidRPr="00395E14">
        <w:rPr>
          <w:i/>
          <w:szCs w:val="20"/>
        </w:rPr>
        <w:t xml:space="preserve"> European Roma Rights </w:t>
      </w:r>
      <w:proofErr w:type="spellStart"/>
      <w:r w:rsidRPr="00395E14">
        <w:rPr>
          <w:i/>
          <w:szCs w:val="20"/>
        </w:rPr>
        <w:t>Center</w:t>
      </w:r>
      <w:proofErr w:type="spellEnd"/>
      <w:r w:rsidRPr="00395E14">
        <w:rPr>
          <w:i/>
          <w:szCs w:val="20"/>
        </w:rPr>
        <w:t xml:space="preserve"> (ERRC) v Greece</w:t>
      </w:r>
      <w:r w:rsidRPr="00395E14">
        <w:rPr>
          <w:szCs w:val="20"/>
        </w:rPr>
        <w:t>, Complaint No 15/2003 (Decision on the Merits 8 December 2004) 14, §51.</w:t>
      </w:r>
    </w:p>
  </w:footnote>
  <w:footnote w:id="86">
    <w:p w14:paraId="2F7392F3"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ECSR (n 73) 172.</w:t>
      </w:r>
    </w:p>
  </w:footnote>
  <w:footnote w:id="87">
    <w:p w14:paraId="7FD943D9"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COE, ECSR,</w:t>
      </w:r>
      <w:r w:rsidRPr="00395E14">
        <w:rPr>
          <w:i/>
          <w:szCs w:val="20"/>
          <w:lang w:val="en-IE" w:eastAsia="en-US"/>
        </w:rPr>
        <w:t xml:space="preserve"> European Roma Rights </w:t>
      </w:r>
      <w:proofErr w:type="spellStart"/>
      <w:r w:rsidRPr="00395E14">
        <w:rPr>
          <w:i/>
          <w:szCs w:val="20"/>
          <w:lang w:val="en-IE" w:eastAsia="en-US"/>
        </w:rPr>
        <w:t>Center</w:t>
      </w:r>
      <w:proofErr w:type="spellEnd"/>
      <w:r w:rsidRPr="00395E14">
        <w:rPr>
          <w:i/>
          <w:szCs w:val="20"/>
          <w:lang w:val="en-IE" w:eastAsia="en-US"/>
        </w:rPr>
        <w:t xml:space="preserve"> (ERRC) v Bulgaria</w:t>
      </w:r>
      <w:r w:rsidRPr="00395E14">
        <w:rPr>
          <w:szCs w:val="20"/>
          <w:lang w:val="en-IE" w:eastAsia="en-US"/>
        </w:rPr>
        <w:t xml:space="preserve">, </w:t>
      </w:r>
      <w:r w:rsidRPr="00395E14">
        <w:rPr>
          <w:szCs w:val="20"/>
        </w:rPr>
        <w:t>§</w:t>
      </w:r>
      <w:r w:rsidRPr="00395E14">
        <w:rPr>
          <w:szCs w:val="20"/>
          <w:lang w:val="en-IE" w:eastAsia="en-US"/>
        </w:rPr>
        <w:t>52.</w:t>
      </w:r>
    </w:p>
  </w:footnote>
  <w:footnote w:id="88">
    <w:p w14:paraId="4D0CD84A"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777703">
        <w:rPr>
          <w:iCs/>
          <w:szCs w:val="20"/>
          <w:lang w:val="en-IE"/>
        </w:rPr>
        <w:t xml:space="preserve"> </w:t>
      </w:r>
      <w:r w:rsidRPr="00777703">
        <w:rPr>
          <w:i/>
          <w:iCs/>
          <w:szCs w:val="20"/>
          <w:lang w:val="en-IE"/>
        </w:rPr>
        <w:t xml:space="preserve">Connors v </w:t>
      </w:r>
      <w:r w:rsidRPr="00395E14">
        <w:rPr>
          <w:i/>
          <w:szCs w:val="20"/>
          <w:lang w:val="en-IE"/>
        </w:rPr>
        <w:t>the United Kingdom</w:t>
      </w:r>
      <w:r w:rsidRPr="00777703">
        <w:rPr>
          <w:iCs/>
          <w:szCs w:val="20"/>
          <w:lang w:val="en-IE"/>
        </w:rPr>
        <w:t xml:space="preserve"> (n 6) §</w:t>
      </w:r>
      <w:r w:rsidRPr="00777703">
        <w:rPr>
          <w:szCs w:val="20"/>
          <w:lang w:val="en-IE"/>
        </w:rPr>
        <w:t>9.</w:t>
      </w:r>
    </w:p>
  </w:footnote>
  <w:footnote w:id="89">
    <w:p w14:paraId="00D25D7D"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proofErr w:type="spellStart"/>
      <w:r w:rsidRPr="00395E14">
        <w:rPr>
          <w:szCs w:val="20"/>
          <w:lang w:val="es-ES_tradnl"/>
        </w:rPr>
        <w:t>The</w:t>
      </w:r>
      <w:proofErr w:type="spellEnd"/>
      <w:r w:rsidRPr="00395E14">
        <w:rPr>
          <w:szCs w:val="20"/>
          <w:lang w:val="es-ES_tradnl"/>
        </w:rPr>
        <w:t xml:space="preserve"> </w:t>
      </w:r>
      <w:proofErr w:type="spellStart"/>
      <w:r w:rsidRPr="00395E14">
        <w:rPr>
          <w:szCs w:val="20"/>
          <w:lang w:val="es-ES_tradnl"/>
        </w:rPr>
        <w:t>relationship</w:t>
      </w:r>
      <w:proofErr w:type="spellEnd"/>
      <w:r w:rsidRPr="00395E14">
        <w:rPr>
          <w:szCs w:val="20"/>
          <w:lang w:val="es-ES_tradnl"/>
        </w:rPr>
        <w:t xml:space="preserve"> </w:t>
      </w:r>
      <w:proofErr w:type="spellStart"/>
      <w:r w:rsidRPr="00395E14">
        <w:rPr>
          <w:szCs w:val="20"/>
          <w:lang w:val="es-ES_tradnl"/>
        </w:rPr>
        <w:t>between</w:t>
      </w:r>
      <w:proofErr w:type="spellEnd"/>
      <w:r w:rsidRPr="00395E14">
        <w:rPr>
          <w:szCs w:val="20"/>
          <w:lang w:val="es-ES_tradnl"/>
        </w:rPr>
        <w:t xml:space="preserve"> Art 8 ECHR and </w:t>
      </w:r>
      <w:proofErr w:type="spellStart"/>
      <w:r w:rsidRPr="00395E14">
        <w:rPr>
          <w:szCs w:val="20"/>
          <w:lang w:val="es-ES_tradnl"/>
        </w:rPr>
        <w:t>housing</w:t>
      </w:r>
      <w:proofErr w:type="spellEnd"/>
      <w:r w:rsidRPr="00395E14">
        <w:rPr>
          <w:szCs w:val="20"/>
          <w:lang w:val="es-ES_tradnl"/>
        </w:rPr>
        <w:t xml:space="preserve"> in </w:t>
      </w:r>
      <w:proofErr w:type="spellStart"/>
      <w:r w:rsidRPr="00395E14">
        <w:rPr>
          <w:szCs w:val="20"/>
          <w:lang w:val="es-ES_tradnl"/>
        </w:rPr>
        <w:t>the</w:t>
      </w:r>
      <w:proofErr w:type="spellEnd"/>
      <w:r w:rsidRPr="00395E14">
        <w:rPr>
          <w:szCs w:val="20"/>
          <w:lang w:val="es-ES_tradnl"/>
        </w:rPr>
        <w:t xml:space="preserve"> </w:t>
      </w:r>
      <w:proofErr w:type="spellStart"/>
      <w:r w:rsidRPr="00395E14">
        <w:rPr>
          <w:szCs w:val="20"/>
          <w:lang w:val="es-ES_tradnl"/>
        </w:rPr>
        <w:t>jurisprudence</w:t>
      </w:r>
      <w:proofErr w:type="spellEnd"/>
      <w:r w:rsidRPr="00395E14">
        <w:rPr>
          <w:szCs w:val="20"/>
          <w:lang w:val="es-ES_tradnl"/>
        </w:rPr>
        <w:t xml:space="preserve"> of </w:t>
      </w:r>
      <w:proofErr w:type="spellStart"/>
      <w:r w:rsidRPr="00395E14">
        <w:rPr>
          <w:szCs w:val="20"/>
          <w:lang w:val="es-ES_tradnl"/>
        </w:rPr>
        <w:t>the</w:t>
      </w:r>
      <w:proofErr w:type="spellEnd"/>
      <w:r w:rsidRPr="00395E14">
        <w:rPr>
          <w:szCs w:val="20"/>
          <w:lang w:val="es-ES_tradnl"/>
        </w:rPr>
        <w:t xml:space="preserve"> </w:t>
      </w:r>
      <w:proofErr w:type="spellStart"/>
      <w:r w:rsidRPr="00395E14">
        <w:rPr>
          <w:szCs w:val="20"/>
          <w:lang w:val="es-ES_tradnl"/>
        </w:rPr>
        <w:t>ECtHR</w:t>
      </w:r>
      <w:proofErr w:type="spellEnd"/>
      <w:r w:rsidRPr="00395E14">
        <w:rPr>
          <w:szCs w:val="20"/>
          <w:lang w:val="es-ES_tradnl"/>
        </w:rPr>
        <w:t xml:space="preserve"> </w:t>
      </w:r>
      <w:proofErr w:type="spellStart"/>
      <w:r w:rsidRPr="00395E14">
        <w:rPr>
          <w:szCs w:val="20"/>
          <w:lang w:val="es-ES_tradnl"/>
        </w:rPr>
        <w:t>is</w:t>
      </w:r>
      <w:proofErr w:type="spellEnd"/>
      <w:r w:rsidRPr="00395E14">
        <w:rPr>
          <w:szCs w:val="20"/>
          <w:lang w:val="es-ES_tradnl"/>
        </w:rPr>
        <w:t xml:space="preserve"> </w:t>
      </w:r>
      <w:proofErr w:type="spellStart"/>
      <w:r w:rsidRPr="00395E14">
        <w:rPr>
          <w:szCs w:val="20"/>
          <w:lang w:val="es-ES_tradnl"/>
        </w:rPr>
        <w:t>summarised</w:t>
      </w:r>
      <w:proofErr w:type="spellEnd"/>
      <w:r w:rsidRPr="00395E14">
        <w:rPr>
          <w:szCs w:val="20"/>
          <w:lang w:val="es-ES_tradnl"/>
        </w:rPr>
        <w:t xml:space="preserve"> </w:t>
      </w:r>
      <w:proofErr w:type="spellStart"/>
      <w:r w:rsidRPr="00395E14">
        <w:rPr>
          <w:szCs w:val="20"/>
          <w:lang w:val="es-ES_tradnl"/>
        </w:rPr>
        <w:t>by</w:t>
      </w:r>
      <w:proofErr w:type="spellEnd"/>
      <w:r w:rsidRPr="00395E14">
        <w:rPr>
          <w:szCs w:val="20"/>
        </w:rPr>
        <w:t xml:space="preserve"> the Council of Europe and European Court of Human Rights (2017). </w:t>
      </w:r>
      <w:proofErr w:type="spellStart"/>
      <w:r w:rsidRPr="00777703">
        <w:rPr>
          <w:i/>
          <w:szCs w:val="20"/>
          <w:lang w:val="es-ES_tradnl"/>
        </w:rPr>
        <w:t>Guide</w:t>
      </w:r>
      <w:proofErr w:type="spellEnd"/>
      <w:r w:rsidRPr="00777703">
        <w:rPr>
          <w:i/>
          <w:szCs w:val="20"/>
          <w:lang w:val="es-ES_tradnl"/>
        </w:rPr>
        <w:t xml:space="preserve"> </w:t>
      </w:r>
      <w:proofErr w:type="spellStart"/>
      <w:r w:rsidRPr="00777703">
        <w:rPr>
          <w:i/>
          <w:szCs w:val="20"/>
          <w:lang w:val="es-ES_tradnl"/>
        </w:rPr>
        <w:t>on</w:t>
      </w:r>
      <w:proofErr w:type="spellEnd"/>
      <w:r w:rsidRPr="00777703">
        <w:rPr>
          <w:i/>
          <w:szCs w:val="20"/>
          <w:lang w:val="es-ES_tradnl"/>
        </w:rPr>
        <w:t xml:space="preserve"> </w:t>
      </w:r>
      <w:proofErr w:type="spellStart"/>
      <w:r w:rsidRPr="00777703">
        <w:rPr>
          <w:i/>
          <w:szCs w:val="20"/>
          <w:lang w:val="es-ES_tradnl"/>
        </w:rPr>
        <w:t>Article</w:t>
      </w:r>
      <w:proofErr w:type="spellEnd"/>
      <w:r w:rsidRPr="00777703">
        <w:rPr>
          <w:i/>
          <w:szCs w:val="20"/>
          <w:lang w:val="es-ES_tradnl"/>
        </w:rPr>
        <w:t xml:space="preserve"> 8 of </w:t>
      </w:r>
      <w:proofErr w:type="spellStart"/>
      <w:r w:rsidRPr="00777703">
        <w:rPr>
          <w:i/>
          <w:szCs w:val="20"/>
          <w:lang w:val="es-ES_tradnl"/>
        </w:rPr>
        <w:t>the</w:t>
      </w:r>
      <w:proofErr w:type="spellEnd"/>
      <w:r w:rsidRPr="00777703">
        <w:rPr>
          <w:i/>
          <w:szCs w:val="20"/>
          <w:lang w:val="es-ES_tradnl"/>
        </w:rPr>
        <w:t xml:space="preserve"> </w:t>
      </w:r>
      <w:proofErr w:type="spellStart"/>
      <w:r w:rsidRPr="00777703">
        <w:rPr>
          <w:i/>
          <w:szCs w:val="20"/>
          <w:lang w:val="es-ES_tradnl"/>
        </w:rPr>
        <w:t>Convention</w:t>
      </w:r>
      <w:proofErr w:type="spellEnd"/>
      <w:r w:rsidRPr="00777703">
        <w:rPr>
          <w:i/>
          <w:szCs w:val="20"/>
          <w:lang w:val="es-ES_tradnl"/>
        </w:rPr>
        <w:t xml:space="preserve"> – </w:t>
      </w:r>
      <w:proofErr w:type="spellStart"/>
      <w:r w:rsidRPr="00777703">
        <w:rPr>
          <w:i/>
          <w:szCs w:val="20"/>
          <w:lang w:val="es-ES_tradnl"/>
        </w:rPr>
        <w:t>Right</w:t>
      </w:r>
      <w:proofErr w:type="spellEnd"/>
      <w:r w:rsidRPr="00777703">
        <w:rPr>
          <w:i/>
          <w:szCs w:val="20"/>
          <w:lang w:val="es-ES_tradnl"/>
        </w:rPr>
        <w:t xml:space="preserve"> to </w:t>
      </w:r>
      <w:proofErr w:type="spellStart"/>
      <w:r w:rsidRPr="00777703">
        <w:rPr>
          <w:i/>
          <w:szCs w:val="20"/>
          <w:lang w:val="es-ES_tradnl"/>
        </w:rPr>
        <w:t>respect</w:t>
      </w:r>
      <w:proofErr w:type="spellEnd"/>
      <w:r w:rsidRPr="00777703">
        <w:rPr>
          <w:i/>
          <w:szCs w:val="20"/>
          <w:lang w:val="es-ES_tradnl"/>
        </w:rPr>
        <w:t xml:space="preserve"> </w:t>
      </w:r>
      <w:proofErr w:type="spellStart"/>
      <w:r w:rsidRPr="00777703">
        <w:rPr>
          <w:i/>
          <w:szCs w:val="20"/>
          <w:lang w:val="es-ES_tradnl"/>
        </w:rPr>
        <w:t>for</w:t>
      </w:r>
      <w:proofErr w:type="spellEnd"/>
      <w:r w:rsidRPr="00777703">
        <w:rPr>
          <w:i/>
          <w:szCs w:val="20"/>
          <w:lang w:val="es-ES_tradnl"/>
        </w:rPr>
        <w:t xml:space="preserve"> </w:t>
      </w:r>
      <w:proofErr w:type="spellStart"/>
      <w:r w:rsidRPr="00777703">
        <w:rPr>
          <w:i/>
          <w:szCs w:val="20"/>
          <w:lang w:val="es-ES_tradnl"/>
        </w:rPr>
        <w:t>private</w:t>
      </w:r>
      <w:proofErr w:type="spellEnd"/>
      <w:r w:rsidRPr="00777703">
        <w:rPr>
          <w:i/>
          <w:szCs w:val="20"/>
          <w:lang w:val="es-ES_tradnl"/>
        </w:rPr>
        <w:t xml:space="preserve"> and </w:t>
      </w:r>
      <w:proofErr w:type="spellStart"/>
      <w:r w:rsidRPr="00777703">
        <w:rPr>
          <w:i/>
          <w:szCs w:val="20"/>
          <w:lang w:val="es-ES_tradnl"/>
        </w:rPr>
        <w:t>family</w:t>
      </w:r>
      <w:proofErr w:type="spellEnd"/>
      <w:r w:rsidRPr="00777703">
        <w:rPr>
          <w:i/>
          <w:szCs w:val="20"/>
          <w:lang w:val="es-ES_tradnl"/>
        </w:rPr>
        <w:t xml:space="preserve"> </w:t>
      </w:r>
      <w:proofErr w:type="spellStart"/>
      <w:r w:rsidRPr="00777703">
        <w:rPr>
          <w:i/>
          <w:szCs w:val="20"/>
          <w:lang w:val="es-ES_tradnl"/>
        </w:rPr>
        <w:t>life</w:t>
      </w:r>
      <w:proofErr w:type="spellEnd"/>
      <w:r w:rsidRPr="00777703">
        <w:rPr>
          <w:szCs w:val="20"/>
          <w:lang w:val="es-ES_tradnl"/>
        </w:rPr>
        <w:t xml:space="preserve"> 52–</w:t>
      </w:r>
      <w:r w:rsidRPr="00395E14">
        <w:rPr>
          <w:szCs w:val="20"/>
          <w:lang w:val="es-ES_tradnl"/>
        </w:rPr>
        <w:t>58, &lt;</w:t>
      </w:r>
      <w:hyperlink r:id="rId9" w:history="1">
        <w:r w:rsidRPr="00777703">
          <w:rPr>
            <w:rStyle w:val="Hyperlink"/>
            <w:color w:val="auto"/>
            <w:szCs w:val="20"/>
            <w:u w:val="none"/>
            <w:lang w:val="es-ES_tradnl"/>
          </w:rPr>
          <w:t>https://www.echr.coe.int/Documents/Guide_Art_8_ENG.pdf</w:t>
        </w:r>
      </w:hyperlink>
      <w:r w:rsidRPr="00395E14">
        <w:rPr>
          <w:szCs w:val="20"/>
          <w:lang w:val="es-ES_tradnl"/>
        </w:rPr>
        <w:t>&gt;</w:t>
      </w:r>
      <w:r w:rsidRPr="00777703">
        <w:rPr>
          <w:szCs w:val="20"/>
          <w:lang w:val="es-ES_tradnl"/>
        </w:rPr>
        <w:t>.</w:t>
      </w:r>
    </w:p>
  </w:footnote>
  <w:footnote w:id="90">
    <w:p w14:paraId="21592648"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i/>
          <w:szCs w:val="20"/>
          <w:lang w:val="en-IE"/>
        </w:rPr>
        <w:t>Moldovan v Romania (No 2)</w:t>
      </w:r>
      <w:r w:rsidRPr="00777703">
        <w:rPr>
          <w:szCs w:val="20"/>
          <w:lang w:val="en-IE"/>
        </w:rPr>
        <w:t xml:space="preserve"> App Nos 41138/98 and 64320/01, </w:t>
      </w:r>
      <w:r w:rsidRPr="00395E14">
        <w:rPr>
          <w:szCs w:val="20"/>
        </w:rPr>
        <w:t xml:space="preserve">30 November 2005 (Final) </w:t>
      </w:r>
      <w:r w:rsidRPr="00777703">
        <w:rPr>
          <w:szCs w:val="20"/>
          <w:lang w:val="en-IE"/>
        </w:rPr>
        <w:t>27, §113.</w:t>
      </w:r>
    </w:p>
  </w:footnote>
  <w:footnote w:id="91">
    <w:p w14:paraId="741E4F87"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i/>
          <w:szCs w:val="20"/>
          <w:lang w:val="en-IE"/>
        </w:rPr>
        <w:t xml:space="preserve"> </w:t>
      </w:r>
      <w:r w:rsidRPr="00777703">
        <w:rPr>
          <w:i/>
          <w:szCs w:val="20"/>
          <w:lang w:val="en-IE"/>
        </w:rPr>
        <w:t>McCann v United Kingdom</w:t>
      </w:r>
      <w:r w:rsidRPr="00777703">
        <w:rPr>
          <w:szCs w:val="20"/>
          <w:lang w:val="en-IE"/>
        </w:rPr>
        <w:t xml:space="preserve"> App No 19009/04, Fourth Section 13 May 2008, §50.</w:t>
      </w:r>
    </w:p>
  </w:footnote>
  <w:footnote w:id="92">
    <w:p w14:paraId="49DDDC4D" w14:textId="77777777" w:rsidR="00C859A0" w:rsidRPr="00395E14" w:rsidRDefault="00C859A0" w:rsidP="00FB7DCE">
      <w:pPr>
        <w:pStyle w:val="FootnoteText"/>
        <w:spacing w:before="0" w:after="0" w:line="240" w:lineRule="auto"/>
        <w:rPr>
          <w:szCs w:val="20"/>
        </w:rPr>
      </w:pPr>
      <w:r w:rsidRPr="00395E14">
        <w:rPr>
          <w:szCs w:val="20"/>
          <w:vertAlign w:val="superscript"/>
        </w:rPr>
        <w:footnoteRef/>
      </w:r>
      <w:r w:rsidRPr="00395E14">
        <w:rPr>
          <w:szCs w:val="20"/>
        </w:rPr>
        <w:t xml:space="preserve"> </w:t>
      </w:r>
      <w:proofErr w:type="spellStart"/>
      <w:r w:rsidRPr="00395E14">
        <w:rPr>
          <w:i/>
          <w:szCs w:val="20"/>
        </w:rPr>
        <w:t>Yordanova</w:t>
      </w:r>
      <w:proofErr w:type="spellEnd"/>
      <w:r w:rsidRPr="00395E14">
        <w:rPr>
          <w:i/>
          <w:szCs w:val="20"/>
        </w:rPr>
        <w:t xml:space="preserve"> and Others v Bulgaria</w:t>
      </w:r>
      <w:r w:rsidRPr="00395E14">
        <w:rPr>
          <w:szCs w:val="20"/>
        </w:rPr>
        <w:t xml:space="preserve"> App No 25446/06, 24 September 2012.</w:t>
      </w:r>
    </w:p>
  </w:footnote>
  <w:footnote w:id="93">
    <w:p w14:paraId="5F594791"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Pr>
          <w:szCs w:val="20"/>
          <w:lang w:val="en-IE"/>
        </w:rPr>
        <w:t>Ibid</w:t>
      </w:r>
      <w:r w:rsidRPr="00395E14">
        <w:rPr>
          <w:szCs w:val="20"/>
          <w:lang w:val="en-IE"/>
        </w:rPr>
        <w:t xml:space="preserve"> </w:t>
      </w:r>
      <w:r w:rsidRPr="00395E14">
        <w:rPr>
          <w:szCs w:val="20"/>
        </w:rPr>
        <w:t>§</w:t>
      </w:r>
      <w:r w:rsidRPr="00395E14">
        <w:rPr>
          <w:szCs w:val="20"/>
          <w:lang w:val="en-IE"/>
        </w:rPr>
        <w:t>117.</w:t>
      </w:r>
    </w:p>
  </w:footnote>
  <w:footnote w:id="94">
    <w:p w14:paraId="7F1B7E75"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Pr>
          <w:szCs w:val="20"/>
          <w:lang w:val="en-IE"/>
        </w:rPr>
        <w:t>Ibid</w:t>
      </w:r>
      <w:r w:rsidRPr="00395E14">
        <w:rPr>
          <w:szCs w:val="20"/>
          <w:lang w:val="en-IE"/>
        </w:rPr>
        <w:t xml:space="preserve"> </w:t>
      </w:r>
      <w:r w:rsidRPr="00395E14">
        <w:rPr>
          <w:szCs w:val="20"/>
        </w:rPr>
        <w:t>§</w:t>
      </w:r>
      <w:r w:rsidRPr="00395E14">
        <w:rPr>
          <w:szCs w:val="20"/>
          <w:lang w:val="en-IE"/>
        </w:rPr>
        <w:t>118.</w:t>
      </w:r>
    </w:p>
  </w:footnote>
  <w:footnote w:id="95">
    <w:p w14:paraId="5CCF4736"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Pr>
          <w:szCs w:val="20"/>
        </w:rPr>
        <w:t>.</w:t>
      </w:r>
    </w:p>
  </w:footnote>
  <w:footnote w:id="96">
    <w:p w14:paraId="16EBD47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777703">
        <w:rPr>
          <w:szCs w:val="20"/>
        </w:rPr>
        <w:t>(n 92).</w:t>
      </w:r>
    </w:p>
  </w:footnote>
  <w:footnote w:id="97">
    <w:p w14:paraId="70417CCA"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w:t>
      </w:r>
      <w:r w:rsidRPr="00395E14">
        <w:rPr>
          <w:rFonts w:eastAsia="MS Mincho"/>
          <w:i/>
          <w:szCs w:val="20"/>
          <w:lang w:val="en-US" w:eastAsia="ja-JP"/>
        </w:rPr>
        <w:t xml:space="preserve">Ceesay </w:t>
      </w:r>
      <w:proofErr w:type="spellStart"/>
      <w:r w:rsidRPr="00395E14">
        <w:rPr>
          <w:rFonts w:eastAsia="MS Mincho"/>
          <w:i/>
          <w:szCs w:val="20"/>
          <w:lang w:val="en-US" w:eastAsia="ja-JP"/>
        </w:rPr>
        <w:t>Ceesay</w:t>
      </w:r>
      <w:proofErr w:type="spellEnd"/>
      <w:r w:rsidRPr="00395E14">
        <w:rPr>
          <w:rFonts w:eastAsia="MS Mincho"/>
          <w:i/>
          <w:szCs w:val="20"/>
          <w:lang w:val="en-US" w:eastAsia="ja-JP"/>
        </w:rPr>
        <w:t xml:space="preserve"> and others v. Spain</w:t>
      </w:r>
      <w:r w:rsidRPr="00395E14">
        <w:rPr>
          <w:rFonts w:eastAsia="MS Mincho"/>
          <w:szCs w:val="20"/>
          <w:lang w:val="en-US" w:eastAsia="ja-JP"/>
        </w:rPr>
        <w:t>, Application no. 62688/13, Decision of 15 October 2013</w:t>
      </w:r>
      <w:r w:rsidRPr="00777703">
        <w:rPr>
          <w:rFonts w:eastAsia="MS Mincho"/>
          <w:szCs w:val="20"/>
          <w:lang w:val="en-US" w:eastAsia="ja-JP"/>
        </w:rPr>
        <w:t>.</w:t>
      </w:r>
    </w:p>
  </w:footnote>
  <w:footnote w:id="98">
    <w:p w14:paraId="1B5D42C0"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UN CESCR, General Comment No 3: The Nature of States Parties’ Obligations (Art 2, Para 1 of the Covenant) (n 71).</w:t>
      </w:r>
    </w:p>
  </w:footnote>
  <w:footnote w:id="99">
    <w:p w14:paraId="63D692D8"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[2016] UKSC 28. See </w:t>
      </w:r>
      <w:r w:rsidRPr="00395E14">
        <w:rPr>
          <w:szCs w:val="20"/>
          <w:lang w:val="es-PE"/>
        </w:rPr>
        <w:t xml:space="preserve">Emma Lees, ‘Horizontal </w:t>
      </w:r>
      <w:r w:rsidRPr="00777703">
        <w:rPr>
          <w:szCs w:val="20"/>
          <w:lang w:val="es-PE"/>
        </w:rPr>
        <w:t>e</w:t>
      </w:r>
      <w:r w:rsidRPr="00395E14">
        <w:rPr>
          <w:szCs w:val="20"/>
          <w:lang w:val="es-PE"/>
        </w:rPr>
        <w:t xml:space="preserve">ffect and Article 8: McDonald v McDonald’ (2014) </w:t>
      </w:r>
      <w:r w:rsidRPr="00395E14">
        <w:rPr>
          <w:i/>
          <w:iCs/>
          <w:szCs w:val="20"/>
          <w:lang w:val="es-PE"/>
        </w:rPr>
        <w:t>Law Quarterly Review</w:t>
      </w:r>
      <w:r w:rsidRPr="00395E14">
        <w:rPr>
          <w:iCs/>
          <w:szCs w:val="20"/>
          <w:lang w:val="es-PE"/>
        </w:rPr>
        <w:t> 131. </w:t>
      </w:r>
      <w:r w:rsidRPr="00395E14">
        <w:rPr>
          <w:iCs/>
          <w:szCs w:val="20"/>
          <w:lang w:val="es-PE"/>
        </w:rPr>
        <w:t xml:space="preserve">For a modern critique of </w:t>
      </w:r>
      <w:r w:rsidRPr="00395E14">
        <w:rPr>
          <w:i/>
          <w:iCs/>
          <w:szCs w:val="20"/>
          <w:lang w:val="es-PE"/>
        </w:rPr>
        <w:t>McDonal</w:t>
      </w:r>
      <w:r w:rsidRPr="00777703">
        <w:rPr>
          <w:i/>
          <w:iCs/>
          <w:szCs w:val="20"/>
          <w:lang w:val="es-PE"/>
        </w:rPr>
        <w:t>d</w:t>
      </w:r>
      <w:r w:rsidRPr="00395E14">
        <w:rPr>
          <w:iCs/>
          <w:szCs w:val="20"/>
          <w:lang w:val="es-PE"/>
        </w:rPr>
        <w:t xml:space="preserve"> see S </w:t>
      </w:r>
      <w:r w:rsidRPr="00395E14">
        <w:rPr>
          <w:szCs w:val="20"/>
          <w:lang w:val="en-US"/>
        </w:rPr>
        <w:t xml:space="preserve">Pascoe, ‘The end of the road for human rights in private landowners’ disputes?’ (2017) 81 (4) </w:t>
      </w:r>
      <w:r w:rsidRPr="00395E14">
        <w:rPr>
          <w:i/>
          <w:szCs w:val="20"/>
          <w:lang w:val="en-US"/>
        </w:rPr>
        <w:t>T</w:t>
      </w:r>
      <w:r w:rsidRPr="00777703">
        <w:rPr>
          <w:i/>
          <w:szCs w:val="20"/>
          <w:shd w:val="clear" w:color="auto" w:fill="FFFFFF"/>
        </w:rPr>
        <w:t>he Conveyancer and Property Lawyer</w:t>
      </w:r>
      <w:r w:rsidRPr="00395E14">
        <w:rPr>
          <w:i/>
          <w:szCs w:val="20"/>
          <w:lang w:val="en-US"/>
        </w:rPr>
        <w:t xml:space="preserve"> </w:t>
      </w:r>
      <w:r w:rsidRPr="00395E14">
        <w:rPr>
          <w:szCs w:val="20"/>
          <w:lang w:val="en-US"/>
        </w:rPr>
        <w:t>269</w:t>
      </w:r>
      <w:r w:rsidRPr="00777703">
        <w:rPr>
          <w:szCs w:val="20"/>
          <w:lang w:val="en-US"/>
        </w:rPr>
        <w:t>–</w:t>
      </w:r>
      <w:r w:rsidRPr="00395E14">
        <w:rPr>
          <w:szCs w:val="20"/>
          <w:lang w:val="en-US"/>
        </w:rPr>
        <w:t>286.</w:t>
      </w:r>
    </w:p>
  </w:footnote>
  <w:footnote w:id="100">
    <w:p w14:paraId="39CC532B"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The order can be suspended for a maximum of six weeks in cases of exceptional hardship under the Housing Act 1980,</w:t>
      </w:r>
      <w:r w:rsidRPr="00777703">
        <w:rPr>
          <w:szCs w:val="20"/>
          <w:lang w:val="en-US"/>
        </w:rPr>
        <w:t xml:space="preserve"> </w:t>
      </w:r>
      <w:r w:rsidRPr="00395E14">
        <w:rPr>
          <w:szCs w:val="20"/>
          <w:lang w:val="en-US"/>
        </w:rPr>
        <w:t>s 89(1), and therefore no proportionality test can be effectively</w:t>
      </w:r>
      <w:r w:rsidRPr="00777703">
        <w:rPr>
          <w:szCs w:val="20"/>
          <w:lang w:val="en-US"/>
        </w:rPr>
        <w:t xml:space="preserve"> </w:t>
      </w:r>
      <w:r w:rsidRPr="00395E14">
        <w:rPr>
          <w:szCs w:val="20"/>
          <w:lang w:val="en-US"/>
        </w:rPr>
        <w:t>carried out.</w:t>
      </w:r>
    </w:p>
  </w:footnote>
  <w:footnote w:id="101">
    <w:p w14:paraId="6E9F6545"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Application No. 43777/13 Judgment 12 July 2016.</w:t>
      </w:r>
    </w:p>
  </w:footnote>
  <w:footnote w:id="102">
    <w:p w14:paraId="73FD014C"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Pr>
          <w:szCs w:val="20"/>
          <w:lang w:val="en-US"/>
        </w:rPr>
        <w:t>Ibid</w:t>
      </w:r>
      <w:r w:rsidRPr="00395E14">
        <w:rPr>
          <w:szCs w:val="20"/>
          <w:lang w:val="en-US"/>
        </w:rPr>
        <w:t xml:space="preserve"> </w:t>
      </w:r>
      <w:r w:rsidRPr="00395E14">
        <w:rPr>
          <w:szCs w:val="20"/>
          <w:lang w:eastAsia="en-US"/>
        </w:rPr>
        <w:t>§</w:t>
      </w:r>
      <w:r w:rsidRPr="00395E14">
        <w:rPr>
          <w:szCs w:val="20"/>
          <w:lang w:val="en-US"/>
        </w:rPr>
        <w:t xml:space="preserve">66. </w:t>
      </w:r>
    </w:p>
  </w:footnote>
  <w:footnote w:id="103">
    <w:p w14:paraId="4C27BCEA"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The situation involving a </w:t>
      </w:r>
      <w:r w:rsidRPr="00777703">
        <w:rPr>
          <w:szCs w:val="20"/>
        </w:rPr>
        <w:t>s</w:t>
      </w:r>
      <w:r w:rsidRPr="00395E14">
        <w:rPr>
          <w:szCs w:val="20"/>
        </w:rPr>
        <w:t xml:space="preserve">tate owned or majority </w:t>
      </w:r>
      <w:proofErr w:type="gramStart"/>
      <w:r w:rsidRPr="00777703">
        <w:rPr>
          <w:szCs w:val="20"/>
        </w:rPr>
        <w:t>s</w:t>
      </w:r>
      <w:r w:rsidRPr="00395E14">
        <w:rPr>
          <w:szCs w:val="20"/>
        </w:rPr>
        <w:t>tate owned</w:t>
      </w:r>
      <w:proofErr w:type="gramEnd"/>
      <w:r w:rsidRPr="00395E14">
        <w:rPr>
          <w:szCs w:val="20"/>
        </w:rPr>
        <w:t xml:space="preserve"> bank seeking possession for a mortgage debt was not considered, even though this situation is common in Ireland.</w:t>
      </w:r>
    </w:p>
  </w:footnote>
  <w:footnote w:id="104">
    <w:p w14:paraId="2B874409" w14:textId="77777777" w:rsidR="00C859A0" w:rsidRPr="00395E14" w:rsidRDefault="00C859A0" w:rsidP="00C34CE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proofErr w:type="spellStart"/>
      <w:r w:rsidRPr="00777703">
        <w:rPr>
          <w:i/>
          <w:szCs w:val="20"/>
          <w:lang w:val="en-US"/>
        </w:rPr>
        <w:t>Vrzic</w:t>
      </w:r>
      <w:proofErr w:type="spellEnd"/>
      <w:r w:rsidRPr="00777703">
        <w:rPr>
          <w:szCs w:val="20"/>
          <w:lang w:val="en-US"/>
        </w:rPr>
        <w:t xml:space="preserve"> </w:t>
      </w:r>
      <w:r w:rsidRPr="00777703">
        <w:rPr>
          <w:i/>
          <w:szCs w:val="20"/>
          <w:lang w:val="en-US"/>
        </w:rPr>
        <w:t>v</w:t>
      </w:r>
      <w:r w:rsidRPr="00777703">
        <w:rPr>
          <w:szCs w:val="20"/>
          <w:lang w:val="en-US"/>
        </w:rPr>
        <w:t xml:space="preserve"> </w:t>
      </w:r>
      <w:r w:rsidRPr="00777703">
        <w:rPr>
          <w:i/>
          <w:szCs w:val="20"/>
          <w:lang w:val="en-US"/>
        </w:rPr>
        <w:t>Croatia</w:t>
      </w:r>
      <w:r w:rsidRPr="00395E14">
        <w:rPr>
          <w:szCs w:val="20"/>
          <w:lang w:val="en-US"/>
        </w:rPr>
        <w:t xml:space="preserve"> </w:t>
      </w:r>
      <w:r w:rsidRPr="00777703">
        <w:rPr>
          <w:szCs w:val="20"/>
        </w:rPr>
        <w:t xml:space="preserve">Application No. 43777/13 Judgment 12 July 2016 </w:t>
      </w:r>
      <w:r w:rsidRPr="00395E14">
        <w:rPr>
          <w:szCs w:val="20"/>
          <w:lang w:eastAsia="en-US"/>
        </w:rPr>
        <w:t>§</w:t>
      </w:r>
      <w:r w:rsidRPr="00395E14">
        <w:rPr>
          <w:szCs w:val="20"/>
          <w:lang w:val="en-US"/>
        </w:rPr>
        <w:t>73.</w:t>
      </w:r>
    </w:p>
  </w:footnote>
  <w:footnote w:id="105">
    <w:p w14:paraId="7F49DDBD"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rStyle w:val="FootnoteindChar"/>
          <w:szCs w:val="20"/>
        </w:rPr>
        <w:t xml:space="preserve"> </w:t>
      </w:r>
      <w:r w:rsidRPr="00395E14">
        <w:rPr>
          <w:szCs w:val="20"/>
        </w:rPr>
        <w:t xml:space="preserve">See S Van </w:t>
      </w:r>
      <w:proofErr w:type="spellStart"/>
      <w:r w:rsidRPr="00395E14">
        <w:rPr>
          <w:szCs w:val="20"/>
        </w:rPr>
        <w:t>Erp</w:t>
      </w:r>
      <w:proofErr w:type="spellEnd"/>
      <w:r w:rsidRPr="00395E14">
        <w:rPr>
          <w:szCs w:val="20"/>
        </w:rPr>
        <w:t xml:space="preserve"> and B </w:t>
      </w:r>
      <w:proofErr w:type="spellStart"/>
      <w:r w:rsidRPr="00395E14">
        <w:rPr>
          <w:szCs w:val="20"/>
        </w:rPr>
        <w:t>Akkermans</w:t>
      </w:r>
      <w:proofErr w:type="spellEnd"/>
      <w:r w:rsidRPr="00395E14">
        <w:rPr>
          <w:szCs w:val="20"/>
        </w:rPr>
        <w:t xml:space="preserve">, </w:t>
      </w:r>
      <w:r w:rsidRPr="00395E14">
        <w:rPr>
          <w:i/>
          <w:szCs w:val="20"/>
        </w:rPr>
        <w:t>Cases, Materials and Text on Property Law</w:t>
      </w:r>
      <w:r w:rsidRPr="00395E14">
        <w:rPr>
          <w:szCs w:val="20"/>
        </w:rPr>
        <w:t xml:space="preserve"> (</w:t>
      </w:r>
      <w:proofErr w:type="spellStart"/>
      <w:r w:rsidRPr="00395E14">
        <w:rPr>
          <w:szCs w:val="20"/>
        </w:rPr>
        <w:t>Ius</w:t>
      </w:r>
      <w:proofErr w:type="spellEnd"/>
      <w:r w:rsidRPr="00395E14">
        <w:rPr>
          <w:szCs w:val="20"/>
        </w:rPr>
        <w:t xml:space="preserve"> Commune Casebooks for the Common Law of Europe) (Oxford, Hart 2012) Ch 10; P Sparkes, </w:t>
      </w:r>
      <w:r w:rsidRPr="00777703">
        <w:rPr>
          <w:i/>
          <w:szCs w:val="20"/>
        </w:rPr>
        <w:t>European Land Law</w:t>
      </w:r>
      <w:r w:rsidRPr="00777703">
        <w:rPr>
          <w:szCs w:val="20"/>
        </w:rPr>
        <w:t xml:space="preserve"> (Oxford, Hart 2007); CU Schmid, C Hertel and H </w:t>
      </w:r>
      <w:proofErr w:type="spellStart"/>
      <w:r w:rsidRPr="00777703">
        <w:rPr>
          <w:szCs w:val="20"/>
        </w:rPr>
        <w:t>Wicke</w:t>
      </w:r>
      <w:proofErr w:type="spellEnd"/>
      <w:r w:rsidRPr="00777703">
        <w:rPr>
          <w:szCs w:val="20"/>
        </w:rPr>
        <w:t xml:space="preserve">, </w:t>
      </w:r>
      <w:r w:rsidRPr="00777703">
        <w:rPr>
          <w:i/>
          <w:szCs w:val="20"/>
        </w:rPr>
        <w:t>Real Property Law and Procedure in the European Union</w:t>
      </w:r>
      <w:r w:rsidRPr="00777703">
        <w:rPr>
          <w:szCs w:val="20"/>
        </w:rPr>
        <w:t xml:space="preserve"> (European University Institute (EUI) Florence/European Private Law Forum, </w:t>
      </w:r>
      <w:proofErr w:type="spellStart"/>
      <w:r w:rsidRPr="00777703">
        <w:rPr>
          <w:szCs w:val="20"/>
        </w:rPr>
        <w:t>Deutsches</w:t>
      </w:r>
      <w:proofErr w:type="spellEnd"/>
      <w:r w:rsidRPr="00777703">
        <w:rPr>
          <w:szCs w:val="20"/>
        </w:rPr>
        <w:t xml:space="preserve"> </w:t>
      </w:r>
      <w:proofErr w:type="spellStart"/>
      <w:r w:rsidRPr="00777703">
        <w:rPr>
          <w:szCs w:val="20"/>
        </w:rPr>
        <w:t>Notarinstitut</w:t>
      </w:r>
      <w:proofErr w:type="spellEnd"/>
      <w:r w:rsidRPr="00777703">
        <w:rPr>
          <w:szCs w:val="20"/>
        </w:rPr>
        <w:t xml:space="preserve"> (</w:t>
      </w:r>
      <w:proofErr w:type="spellStart"/>
      <w:r w:rsidRPr="00777703">
        <w:rPr>
          <w:szCs w:val="20"/>
        </w:rPr>
        <w:t>DNotI</w:t>
      </w:r>
      <w:proofErr w:type="spellEnd"/>
      <w:r w:rsidRPr="00777703">
        <w:rPr>
          <w:szCs w:val="20"/>
        </w:rPr>
        <w:t>) Würzburg 2005).</w:t>
      </w:r>
    </w:p>
  </w:footnote>
  <w:footnote w:id="106">
    <w:p w14:paraId="4FCC9F02"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S</w:t>
      </w:r>
      <w:r w:rsidRPr="00395E14">
        <w:rPr>
          <w:iCs/>
          <w:szCs w:val="20"/>
          <w:lang w:val="es-PE"/>
        </w:rPr>
        <w:t xml:space="preserve">ee Sjef Van Erp, ‘Article 345 TFEU: </w:t>
      </w:r>
      <w:r w:rsidRPr="00777703">
        <w:rPr>
          <w:iCs/>
          <w:szCs w:val="20"/>
          <w:lang w:val="es-PE"/>
        </w:rPr>
        <w:t>a</w:t>
      </w:r>
      <w:r w:rsidRPr="00395E14">
        <w:rPr>
          <w:iCs/>
          <w:szCs w:val="20"/>
          <w:lang w:val="es-PE"/>
        </w:rPr>
        <w:t xml:space="preserve"> framework for European property law’ in </w:t>
      </w:r>
      <w:r w:rsidRPr="00395E14">
        <w:rPr>
          <w:szCs w:val="20"/>
          <w:lang w:val="es-PE"/>
        </w:rPr>
        <w:t xml:space="preserve">Jaume Tarabal Bosch, Elena Lauroba Lacasa (coords) </w:t>
      </w:r>
      <w:r w:rsidRPr="00395E14">
        <w:rPr>
          <w:bCs/>
          <w:i/>
          <w:iCs/>
          <w:szCs w:val="20"/>
          <w:lang w:val="es-PE"/>
        </w:rPr>
        <w:t>El derecho de propiedad en la construcción del derecho privado europeo</w:t>
      </w:r>
      <w:r w:rsidRPr="00395E14">
        <w:rPr>
          <w:szCs w:val="20"/>
          <w:lang w:val="es-PE"/>
        </w:rPr>
        <w:t xml:space="preserve"> (Tirant lo Blanch, 2018)</w:t>
      </w:r>
      <w:r w:rsidRPr="00777703">
        <w:rPr>
          <w:szCs w:val="20"/>
          <w:lang w:val="es-PE"/>
        </w:rPr>
        <w:t>.</w:t>
      </w:r>
    </w:p>
  </w:footnote>
  <w:footnote w:id="107">
    <w:p w14:paraId="77FCF999"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777703">
        <w:rPr>
          <w:szCs w:val="20"/>
          <w:lang w:val="en-IE"/>
        </w:rPr>
        <w:t xml:space="preserve"> </w:t>
      </w:r>
      <w:r w:rsidRPr="00395E14">
        <w:rPr>
          <w:szCs w:val="20"/>
          <w:lang w:val="en-IE"/>
        </w:rPr>
        <w:t>Consolidated versions of the Treaty on European Union and the Treaty on the Functioning of the European Union Charter of Fun</w:t>
      </w:r>
      <w:r w:rsidRPr="00777703">
        <w:rPr>
          <w:szCs w:val="20"/>
          <w:lang w:val="en-IE"/>
        </w:rPr>
        <w:t>damental Rights of the European Union (OJ C 83/13, 30 March</w:t>
      </w:r>
      <w:r w:rsidRPr="00777703" w:rsidDel="000216D3">
        <w:rPr>
          <w:szCs w:val="20"/>
          <w:lang w:val="en-IE"/>
        </w:rPr>
        <w:t xml:space="preserve"> </w:t>
      </w:r>
      <w:r w:rsidRPr="00777703">
        <w:rPr>
          <w:szCs w:val="20"/>
          <w:lang w:val="en-IE"/>
        </w:rPr>
        <w:t>2010).</w:t>
      </w:r>
    </w:p>
  </w:footnote>
  <w:footnote w:id="108">
    <w:p w14:paraId="3F0055AC"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Directive 2014/17/EU on credit agreements for consumers relating to residential immovable property and amending Directives 2008/48/EC and 2013/36/EU and Regulation (EU) No 1093/2010. See </w:t>
      </w:r>
      <w:r w:rsidRPr="00395E14">
        <w:rPr>
          <w:szCs w:val="20"/>
          <w:lang w:val="en-US"/>
        </w:rPr>
        <w:t xml:space="preserve">M </w:t>
      </w:r>
      <w:r w:rsidRPr="00395E14">
        <w:rPr>
          <w:szCs w:val="20"/>
        </w:rPr>
        <w:t xml:space="preserve">Anderson and EA </w:t>
      </w:r>
      <w:proofErr w:type="spellStart"/>
      <w:r w:rsidRPr="00395E14">
        <w:rPr>
          <w:szCs w:val="20"/>
        </w:rPr>
        <w:t>Amayeulas</w:t>
      </w:r>
      <w:proofErr w:type="spellEnd"/>
      <w:r w:rsidRPr="00395E14">
        <w:rPr>
          <w:szCs w:val="20"/>
        </w:rPr>
        <w:t xml:space="preserve"> (eds)</w:t>
      </w:r>
      <w:r w:rsidRPr="00777703">
        <w:rPr>
          <w:szCs w:val="20"/>
        </w:rPr>
        <w:t>,</w:t>
      </w:r>
      <w:r w:rsidRPr="00395E14">
        <w:rPr>
          <w:szCs w:val="20"/>
        </w:rPr>
        <w:t xml:space="preserve"> </w:t>
      </w:r>
      <w:r w:rsidRPr="00395E14">
        <w:rPr>
          <w:i/>
          <w:szCs w:val="20"/>
        </w:rPr>
        <w:t>The Impact of the Mortgage Credit Directive in Europe</w:t>
      </w:r>
      <w:r w:rsidRPr="00395E14">
        <w:rPr>
          <w:szCs w:val="20"/>
        </w:rPr>
        <w:t xml:space="preserve"> (Groningen, Europa Law Publishing 2017)</w:t>
      </w:r>
      <w:r w:rsidRPr="00777703">
        <w:rPr>
          <w:szCs w:val="20"/>
        </w:rPr>
        <w:t>.</w:t>
      </w:r>
    </w:p>
  </w:footnote>
  <w:footnote w:id="109">
    <w:p w14:paraId="0AE38154" w14:textId="77777777" w:rsidR="00C859A0" w:rsidRPr="00395E14" w:rsidRDefault="00C859A0" w:rsidP="00FB7DCE">
      <w:pPr>
        <w:pStyle w:val="FootnoteText"/>
        <w:spacing w:before="0" w:after="0" w:line="240" w:lineRule="auto"/>
        <w:rPr>
          <w:szCs w:val="20"/>
          <w:lang w:val="pt-PT"/>
        </w:rPr>
      </w:pPr>
      <w:r w:rsidRPr="00395E14">
        <w:rPr>
          <w:rStyle w:val="FootnoteReference"/>
          <w:szCs w:val="20"/>
        </w:rPr>
        <w:footnoteRef/>
      </w:r>
      <w:r w:rsidRPr="00395E14">
        <w:rPr>
          <w:szCs w:val="20"/>
          <w:lang w:val="pt-PT"/>
        </w:rPr>
        <w:t xml:space="preserve"> </w:t>
      </w:r>
      <w:proofErr w:type="spellStart"/>
      <w:r w:rsidRPr="00395E14">
        <w:rPr>
          <w:szCs w:val="20"/>
          <w:lang w:val="pt-PT"/>
        </w:rPr>
        <w:t>Directive</w:t>
      </w:r>
      <w:proofErr w:type="spellEnd"/>
      <w:r w:rsidRPr="00395E14">
        <w:rPr>
          <w:szCs w:val="20"/>
          <w:lang w:val="pt-PT"/>
        </w:rPr>
        <w:t xml:space="preserve"> 2014/17/EU </w:t>
      </w:r>
      <w:proofErr w:type="spellStart"/>
      <w:r w:rsidRPr="00395E14">
        <w:rPr>
          <w:szCs w:val="20"/>
          <w:lang w:val="pt-PT"/>
        </w:rPr>
        <w:t>Preamble</w:t>
      </w:r>
      <w:proofErr w:type="spellEnd"/>
      <w:r w:rsidRPr="00395E14">
        <w:rPr>
          <w:szCs w:val="20"/>
          <w:lang w:val="pt-PT"/>
        </w:rPr>
        <w:t xml:space="preserve"> 5.</w:t>
      </w:r>
    </w:p>
  </w:footnote>
  <w:footnote w:id="110">
    <w:p w14:paraId="54E51ED3" w14:textId="77777777" w:rsidR="00C859A0" w:rsidRPr="00777703" w:rsidRDefault="00C859A0" w:rsidP="00FB7DCE">
      <w:pPr>
        <w:suppressAutoHyphens/>
        <w:spacing w:before="0" w:after="0" w:line="240" w:lineRule="auto"/>
        <w:rPr>
          <w:sz w:val="20"/>
          <w:szCs w:val="20"/>
        </w:rPr>
      </w:pPr>
      <w:r w:rsidRPr="00395E14">
        <w:rPr>
          <w:rStyle w:val="FootnoteReference"/>
          <w:sz w:val="20"/>
          <w:szCs w:val="20"/>
        </w:rPr>
        <w:footnoteRef/>
      </w:r>
      <w:r w:rsidRPr="00395E14">
        <w:rPr>
          <w:sz w:val="20"/>
          <w:szCs w:val="20"/>
        </w:rPr>
        <w:t xml:space="preserve"> </w:t>
      </w:r>
      <w:r w:rsidRPr="00395E14">
        <w:rPr>
          <w:sz w:val="20"/>
          <w:szCs w:val="20"/>
          <w:lang w:val="en-US"/>
        </w:rPr>
        <w:t>While Art 43(1) of the Directive disapplies the Directive to mortgages created before 21 March 2016, Peter Sparkes points out that this is quite illogical</w:t>
      </w:r>
      <w:r w:rsidRPr="00777703">
        <w:rPr>
          <w:sz w:val="20"/>
          <w:szCs w:val="20"/>
          <w:lang w:val="en-US"/>
        </w:rPr>
        <w:t>:</w:t>
      </w:r>
      <w:r w:rsidRPr="00395E14">
        <w:rPr>
          <w:sz w:val="20"/>
          <w:szCs w:val="20"/>
          <w:lang w:val="en-US"/>
        </w:rPr>
        <w:t xml:space="preserve"> </w:t>
      </w:r>
      <w:r w:rsidRPr="00777703">
        <w:rPr>
          <w:sz w:val="20"/>
          <w:szCs w:val="20"/>
          <w:lang w:val="en-US"/>
        </w:rPr>
        <w:t>‘</w:t>
      </w:r>
      <w:r w:rsidRPr="00395E14">
        <w:rPr>
          <w:sz w:val="20"/>
          <w:szCs w:val="20"/>
          <w:lang w:val="en-US"/>
        </w:rPr>
        <w:t>as things stand, the full benefits of the legislation [MCD] will not be felt for twenty or twenty-five years when all loans in circulation will be covered by post-Directive agreements a</w:t>
      </w:r>
      <w:r w:rsidRPr="00777703">
        <w:rPr>
          <w:sz w:val="20"/>
          <w:szCs w:val="20"/>
          <w:lang w:val="en-US"/>
        </w:rPr>
        <w:t>nd there is no solution on offer to the millions of borrowers burned by the conduct of lenders leading up to and during the financial crisis’</w:t>
      </w:r>
      <w:r w:rsidRPr="00395E14">
        <w:rPr>
          <w:sz w:val="20"/>
          <w:szCs w:val="20"/>
          <w:lang w:val="en-US"/>
        </w:rPr>
        <w:t xml:space="preserve">. See P Sparkes, ‘What is mortgage credit?’ in M </w:t>
      </w:r>
      <w:r w:rsidRPr="00777703">
        <w:rPr>
          <w:sz w:val="20"/>
          <w:szCs w:val="20"/>
        </w:rPr>
        <w:t xml:space="preserve">Anderson and EA </w:t>
      </w:r>
      <w:proofErr w:type="spellStart"/>
      <w:r w:rsidRPr="00777703">
        <w:rPr>
          <w:sz w:val="20"/>
          <w:szCs w:val="20"/>
        </w:rPr>
        <w:t>Amayeulas</w:t>
      </w:r>
      <w:proofErr w:type="spellEnd"/>
      <w:r w:rsidRPr="00777703">
        <w:rPr>
          <w:sz w:val="20"/>
          <w:szCs w:val="20"/>
        </w:rPr>
        <w:t xml:space="preserve"> (eds) </w:t>
      </w:r>
      <w:r w:rsidRPr="00777703">
        <w:rPr>
          <w:i/>
          <w:sz w:val="20"/>
          <w:szCs w:val="20"/>
        </w:rPr>
        <w:t>The Impact of the Mortgage Credit Directive in Europe</w:t>
      </w:r>
      <w:r w:rsidRPr="00777703">
        <w:rPr>
          <w:sz w:val="20"/>
          <w:szCs w:val="20"/>
        </w:rPr>
        <w:t xml:space="preserve"> (Groningen, Europa Law Publishing 2017) Ch </w:t>
      </w:r>
      <w:proofErr w:type="gramStart"/>
      <w:r w:rsidRPr="00777703">
        <w:rPr>
          <w:sz w:val="20"/>
          <w:szCs w:val="20"/>
        </w:rPr>
        <w:t>2.The</w:t>
      </w:r>
      <w:proofErr w:type="gramEnd"/>
      <w:r w:rsidRPr="00777703">
        <w:rPr>
          <w:sz w:val="20"/>
          <w:szCs w:val="20"/>
        </w:rPr>
        <w:t xml:space="preserve"> EBA Guidelines on Arrears and Foreclosures (2015) appear to suggest that these are now applied to existing mortgages as described in Article 3 MCD rather than just post March 2016 mortgages.</w:t>
      </w:r>
    </w:p>
  </w:footnote>
  <w:footnote w:id="111">
    <w:p w14:paraId="74DC5E0A"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See Council Regulation No 1024/2013 of 15 October 2013, conferring specific tasks on the European Central Bank concerning policies relating to the prudential supervision of credit institutions (Single Supervisory Mechanism </w:t>
      </w:r>
      <w:r w:rsidRPr="00777703">
        <w:rPr>
          <w:szCs w:val="20"/>
        </w:rPr>
        <w:t xml:space="preserve">[SSM] </w:t>
      </w:r>
      <w:r w:rsidRPr="00395E14">
        <w:rPr>
          <w:szCs w:val="20"/>
        </w:rPr>
        <w:t>Regulation). See ECB website for explanation of the significance of the SSM Regulation, &lt;</w:t>
      </w:r>
      <w:hyperlink r:id="rId10" w:history="1">
        <w:r w:rsidRPr="00777703">
          <w:rPr>
            <w:rStyle w:val="Hyperlink"/>
            <w:color w:val="auto"/>
            <w:szCs w:val="20"/>
            <w:u w:val="none"/>
          </w:rPr>
          <w:t>https://www.bankingsupervision.europa.eu/about/thessm/html/index.en.html</w:t>
        </w:r>
      </w:hyperlink>
      <w:r w:rsidRPr="00395E14">
        <w:rPr>
          <w:szCs w:val="20"/>
        </w:rPr>
        <w:t>&gt;</w:t>
      </w:r>
      <w:r w:rsidRPr="00777703">
        <w:rPr>
          <w:szCs w:val="20"/>
        </w:rPr>
        <w:t>.</w:t>
      </w:r>
    </w:p>
  </w:footnote>
  <w:footnote w:id="112">
    <w:p w14:paraId="45109A39" w14:textId="77777777" w:rsidR="00C859A0" w:rsidRPr="00777703" w:rsidRDefault="00C859A0" w:rsidP="00FB7DCE">
      <w:pPr>
        <w:pStyle w:val="FootnoteText"/>
        <w:spacing w:before="0" w:after="0" w:line="240" w:lineRule="auto"/>
        <w:rPr>
          <w:szCs w:val="20"/>
          <w:lang w:val="pt-PT"/>
        </w:rPr>
      </w:pPr>
      <w:r w:rsidRPr="00395E14">
        <w:rPr>
          <w:rStyle w:val="FootnoteReference"/>
          <w:szCs w:val="20"/>
        </w:rPr>
        <w:footnoteRef/>
      </w:r>
      <w:r w:rsidRPr="00395E14">
        <w:rPr>
          <w:szCs w:val="20"/>
          <w:lang w:val="pt-PT"/>
        </w:rPr>
        <w:t xml:space="preserve"> EBA/GL/2015/12.</w:t>
      </w:r>
      <w:r w:rsidRPr="00395E14">
        <w:rPr>
          <w:szCs w:val="20"/>
        </w:rPr>
        <w:t xml:space="preserve"> The EBA’s authority to issue guidelines stems from Article 16(1) of Regulation (EU) 1093/2010.</w:t>
      </w:r>
    </w:p>
  </w:footnote>
  <w:footnote w:id="113">
    <w:p w14:paraId="28F94876"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Section 3 of the EBA </w:t>
      </w:r>
      <w:r w:rsidRPr="00395E14">
        <w:rPr>
          <w:i/>
          <w:szCs w:val="20"/>
        </w:rPr>
        <w:t>Final Report on Guidelines on Arrears and Foreclosure</w:t>
      </w:r>
      <w:r w:rsidRPr="00395E14">
        <w:rPr>
          <w:szCs w:val="20"/>
        </w:rPr>
        <w:t xml:space="preserve"> (1 June 2015) EBA/GL/2015/12.</w:t>
      </w:r>
    </w:p>
  </w:footnote>
  <w:footnote w:id="114">
    <w:p w14:paraId="7E5DA2D7"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Pr>
          <w:szCs w:val="20"/>
        </w:rPr>
        <w:t xml:space="preserve"> Guideline 1.</w:t>
      </w:r>
    </w:p>
  </w:footnote>
  <w:footnote w:id="115">
    <w:p w14:paraId="693D1959"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sidDel="00110856">
        <w:rPr>
          <w:szCs w:val="20"/>
        </w:rPr>
        <w:t xml:space="preserve"> </w:t>
      </w:r>
      <w:r w:rsidRPr="00395E14">
        <w:rPr>
          <w:szCs w:val="20"/>
        </w:rPr>
        <w:t>Guidelines 2 and 3.</w:t>
      </w:r>
    </w:p>
  </w:footnote>
  <w:footnote w:id="116">
    <w:p w14:paraId="6802664A"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sidDel="00110856">
        <w:rPr>
          <w:szCs w:val="20"/>
        </w:rPr>
        <w:t xml:space="preserve"> </w:t>
      </w:r>
      <w:r w:rsidRPr="00395E14">
        <w:rPr>
          <w:szCs w:val="20"/>
        </w:rPr>
        <w:t>Guideline 4.</w:t>
      </w:r>
    </w:p>
  </w:footnote>
  <w:footnote w:id="117">
    <w:p w14:paraId="3F1B017F"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sidDel="00110856">
        <w:rPr>
          <w:szCs w:val="20"/>
        </w:rPr>
        <w:t xml:space="preserve"> </w:t>
      </w:r>
      <w:r w:rsidRPr="00395E14">
        <w:rPr>
          <w:szCs w:val="20"/>
        </w:rPr>
        <w:t>Guideline 4.1.2.</w:t>
      </w:r>
    </w:p>
  </w:footnote>
  <w:footnote w:id="118">
    <w:p w14:paraId="0A152C19"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Although the </w:t>
      </w:r>
      <w:r w:rsidRPr="00395E14">
        <w:rPr>
          <w:i/>
          <w:szCs w:val="20"/>
        </w:rPr>
        <w:t>Guidance</w:t>
      </w:r>
      <w:r w:rsidRPr="00395E14">
        <w:rPr>
          <w:szCs w:val="20"/>
        </w:rPr>
        <w:t xml:space="preserve"> is </w:t>
      </w:r>
      <w:r w:rsidRPr="00777703">
        <w:rPr>
          <w:szCs w:val="20"/>
        </w:rPr>
        <w:t>‘</w:t>
      </w:r>
      <w:r w:rsidRPr="00395E14">
        <w:rPr>
          <w:szCs w:val="20"/>
        </w:rPr>
        <w:t>currently non-binding in nature</w:t>
      </w:r>
      <w:r w:rsidRPr="00777703">
        <w:rPr>
          <w:szCs w:val="20"/>
        </w:rPr>
        <w:t>’</w:t>
      </w:r>
      <w:r w:rsidRPr="00395E14">
        <w:rPr>
          <w:szCs w:val="20"/>
        </w:rPr>
        <w:t xml:space="preserve">, non-compliance could </w:t>
      </w:r>
      <w:r w:rsidRPr="00777703">
        <w:rPr>
          <w:szCs w:val="20"/>
        </w:rPr>
        <w:t>‘</w:t>
      </w:r>
      <w:r w:rsidRPr="00395E14">
        <w:rPr>
          <w:szCs w:val="20"/>
        </w:rPr>
        <w:t>trigger supervisory measures</w:t>
      </w:r>
      <w:r w:rsidRPr="00777703">
        <w:rPr>
          <w:szCs w:val="20"/>
        </w:rPr>
        <w:t>’</w:t>
      </w:r>
      <w:r w:rsidRPr="00395E14">
        <w:rPr>
          <w:szCs w:val="20"/>
        </w:rPr>
        <w:t xml:space="preserve"> as prescribed by the Single Supervisory Mechanism of the EU.</w:t>
      </w:r>
    </w:p>
  </w:footnote>
  <w:footnote w:id="119">
    <w:p w14:paraId="69496F14"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European Central Bank, </w:t>
      </w:r>
      <w:r w:rsidRPr="00395E14">
        <w:rPr>
          <w:i/>
          <w:szCs w:val="20"/>
        </w:rPr>
        <w:t>Guidance to Banks on Non-Performing Loans</w:t>
      </w:r>
      <w:r w:rsidRPr="00395E14">
        <w:rPr>
          <w:szCs w:val="20"/>
        </w:rPr>
        <w:t xml:space="preserve"> (ECB March 2017) 49.</w:t>
      </w:r>
    </w:p>
  </w:footnote>
  <w:footnote w:id="120">
    <w:p w14:paraId="413754B7"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sidDel="00110856">
        <w:rPr>
          <w:szCs w:val="20"/>
        </w:rPr>
        <w:t xml:space="preserve"> </w:t>
      </w:r>
      <w:r w:rsidRPr="00395E14">
        <w:rPr>
          <w:szCs w:val="20"/>
        </w:rPr>
        <w:t>43.</w:t>
      </w:r>
    </w:p>
  </w:footnote>
  <w:footnote w:id="121">
    <w:p w14:paraId="02B9D364"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Pr>
          <w:szCs w:val="20"/>
        </w:rPr>
        <w:t>Ibid</w:t>
      </w:r>
      <w:r w:rsidRPr="00395E14">
        <w:rPr>
          <w:szCs w:val="20"/>
        </w:rPr>
        <w:t xml:space="preserve"> 42.</w:t>
      </w:r>
    </w:p>
  </w:footnote>
  <w:footnote w:id="122">
    <w:p w14:paraId="2DEF4DD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rPr>
        <w:footnoteRef/>
      </w:r>
      <w:r w:rsidRPr="00395E14">
        <w:rPr>
          <w:szCs w:val="20"/>
          <w:lang w:val="en-IE"/>
        </w:rPr>
        <w:t xml:space="preserve"> </w:t>
      </w:r>
      <w:r>
        <w:rPr>
          <w:szCs w:val="20"/>
          <w:lang w:val="en-IE"/>
        </w:rPr>
        <w:t>Ibid</w:t>
      </w:r>
      <w:r w:rsidRPr="00395E14">
        <w:rPr>
          <w:szCs w:val="20"/>
          <w:lang w:val="en-IE"/>
        </w:rPr>
        <w:t xml:space="preserve"> 42–43.</w:t>
      </w:r>
    </w:p>
  </w:footnote>
  <w:footnote w:id="123">
    <w:p w14:paraId="5088FE07"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szCs w:val="20"/>
          <w:lang w:val="en-IE"/>
        </w:rPr>
        <w:t xml:space="preserve">Case </w:t>
      </w:r>
      <w:r w:rsidRPr="00777703">
        <w:rPr>
          <w:bCs/>
          <w:szCs w:val="20"/>
          <w:lang w:val="en-IE"/>
        </w:rPr>
        <w:t xml:space="preserve">C-34/13 </w:t>
      </w:r>
      <w:proofErr w:type="spellStart"/>
      <w:r w:rsidRPr="00777703">
        <w:rPr>
          <w:bCs/>
          <w:i/>
          <w:szCs w:val="20"/>
          <w:lang w:val="en-IE" w:eastAsia="en-US"/>
        </w:rPr>
        <w:t>Kušionová</w:t>
      </w:r>
      <w:proofErr w:type="spellEnd"/>
      <w:r w:rsidRPr="00777703">
        <w:rPr>
          <w:i/>
          <w:szCs w:val="20"/>
          <w:lang w:val="en-IE" w:eastAsia="en-US"/>
        </w:rPr>
        <w:t xml:space="preserve"> v SMART Capital </w:t>
      </w:r>
      <w:proofErr w:type="spellStart"/>
      <w:r w:rsidRPr="00777703">
        <w:rPr>
          <w:szCs w:val="20"/>
          <w:lang w:val="en-IE" w:eastAsia="en-US"/>
        </w:rPr>
        <w:t>a.s.</w:t>
      </w:r>
      <w:proofErr w:type="spellEnd"/>
    </w:p>
  </w:footnote>
  <w:footnote w:id="124">
    <w:p w14:paraId="32863EBE"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All provisions of primary and secondary EU law must be interpreted according to the provisions of the Charter, including Art 24 (</w:t>
      </w:r>
      <w:r w:rsidRPr="00777703">
        <w:rPr>
          <w:szCs w:val="20"/>
        </w:rPr>
        <w:t>T</w:t>
      </w:r>
      <w:r w:rsidRPr="00395E14">
        <w:rPr>
          <w:szCs w:val="20"/>
        </w:rPr>
        <w:t xml:space="preserve">he rights of the child), Art 25 (The </w:t>
      </w:r>
      <w:r w:rsidRPr="00777703">
        <w:rPr>
          <w:szCs w:val="20"/>
        </w:rPr>
        <w:t>r</w:t>
      </w:r>
      <w:r w:rsidRPr="00395E14">
        <w:rPr>
          <w:szCs w:val="20"/>
        </w:rPr>
        <w:t xml:space="preserve">ights of </w:t>
      </w:r>
      <w:r w:rsidRPr="00777703">
        <w:rPr>
          <w:szCs w:val="20"/>
        </w:rPr>
        <w:t>o</w:t>
      </w:r>
      <w:r w:rsidRPr="00395E14">
        <w:rPr>
          <w:szCs w:val="20"/>
        </w:rPr>
        <w:t>lder people</w:t>
      </w:r>
      <w:r w:rsidRPr="00777703">
        <w:rPr>
          <w:szCs w:val="20"/>
        </w:rPr>
        <w:t>), Art 26 (Integration of p</w:t>
      </w:r>
      <w:r w:rsidRPr="00395E14">
        <w:rPr>
          <w:szCs w:val="20"/>
        </w:rPr>
        <w:t xml:space="preserve">ersons with </w:t>
      </w:r>
      <w:r w:rsidRPr="00777703">
        <w:rPr>
          <w:szCs w:val="20"/>
        </w:rPr>
        <w:t>d</w:t>
      </w:r>
      <w:r w:rsidRPr="00395E14">
        <w:rPr>
          <w:szCs w:val="20"/>
        </w:rPr>
        <w:t>isabilities) and Art 47</w:t>
      </w:r>
      <w:r w:rsidRPr="00777703">
        <w:rPr>
          <w:szCs w:val="20"/>
        </w:rPr>
        <w:t>(2) and (3) (Fair and p</w:t>
      </w:r>
      <w:r w:rsidRPr="00395E14">
        <w:rPr>
          <w:szCs w:val="20"/>
        </w:rPr>
        <w:t xml:space="preserve">ublic </w:t>
      </w:r>
      <w:r w:rsidRPr="00777703">
        <w:rPr>
          <w:szCs w:val="20"/>
        </w:rPr>
        <w:t>h</w:t>
      </w:r>
      <w:r w:rsidRPr="00395E14">
        <w:rPr>
          <w:szCs w:val="20"/>
        </w:rPr>
        <w:t xml:space="preserve">earing and </w:t>
      </w:r>
      <w:r w:rsidRPr="00777703">
        <w:rPr>
          <w:szCs w:val="20"/>
        </w:rPr>
        <w:t>l</w:t>
      </w:r>
      <w:r w:rsidRPr="00395E14">
        <w:rPr>
          <w:szCs w:val="20"/>
        </w:rPr>
        <w:t xml:space="preserve">egal </w:t>
      </w:r>
      <w:r w:rsidRPr="00777703">
        <w:rPr>
          <w:szCs w:val="20"/>
        </w:rPr>
        <w:t>a</w:t>
      </w:r>
      <w:r w:rsidRPr="00395E14">
        <w:rPr>
          <w:szCs w:val="20"/>
        </w:rPr>
        <w:t>id).</w:t>
      </w:r>
    </w:p>
  </w:footnote>
  <w:footnote w:id="125">
    <w:p w14:paraId="6321BD96"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Consolidated versions of the Treaty on European Union and the Treaty on the Functioning of the European Union Charter of Fundamental Rights of the European Union (OJ C 83/13, 30 March 2010). </w:t>
      </w:r>
    </w:p>
  </w:footnote>
  <w:footnote w:id="126">
    <w:p w14:paraId="20731709"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Case C-415/11 </w:t>
      </w:r>
      <w:r w:rsidRPr="00395E14">
        <w:rPr>
          <w:i/>
          <w:szCs w:val="20"/>
          <w:lang w:val="en-IE"/>
        </w:rPr>
        <w:t xml:space="preserve">Aziz v Caixa </w:t>
      </w:r>
      <w:proofErr w:type="spellStart"/>
      <w:r w:rsidRPr="00395E14">
        <w:rPr>
          <w:i/>
          <w:szCs w:val="20"/>
          <w:lang w:val="en-IE"/>
        </w:rPr>
        <w:t>d’Estalvis</w:t>
      </w:r>
      <w:proofErr w:type="spellEnd"/>
      <w:r w:rsidRPr="00395E14">
        <w:rPr>
          <w:i/>
          <w:szCs w:val="20"/>
          <w:lang w:val="en-IE"/>
        </w:rPr>
        <w:t xml:space="preserve"> de Catalunya</w:t>
      </w:r>
      <w:r w:rsidRPr="00395E14">
        <w:rPr>
          <w:szCs w:val="20"/>
          <w:lang w:val="en-IE"/>
        </w:rPr>
        <w:t>;</w:t>
      </w:r>
      <w:r w:rsidRPr="00395E14">
        <w:rPr>
          <w:i/>
          <w:szCs w:val="20"/>
          <w:lang w:val="en-IE"/>
        </w:rPr>
        <w:t xml:space="preserve"> </w:t>
      </w:r>
      <w:r w:rsidRPr="00395E14">
        <w:rPr>
          <w:szCs w:val="20"/>
          <w:lang w:val="en-IE"/>
        </w:rPr>
        <w:t xml:space="preserve">Case C-280/13 </w:t>
      </w:r>
      <w:r w:rsidRPr="00777703">
        <w:rPr>
          <w:i/>
          <w:szCs w:val="20"/>
          <w:lang w:val="en-IE"/>
        </w:rPr>
        <w:t>Barclays Bank</w:t>
      </w:r>
      <w:r w:rsidRPr="00777703">
        <w:rPr>
          <w:szCs w:val="20"/>
          <w:lang w:val="en-IE"/>
        </w:rPr>
        <w:t xml:space="preserve"> [2014]; Case C-280/13 </w:t>
      </w:r>
      <w:r w:rsidRPr="00777703">
        <w:rPr>
          <w:i/>
          <w:szCs w:val="20"/>
          <w:lang w:val="en-IE"/>
        </w:rPr>
        <w:t xml:space="preserve">Sánchez </w:t>
      </w:r>
      <w:proofErr w:type="spellStart"/>
      <w:r w:rsidRPr="00777703">
        <w:rPr>
          <w:i/>
          <w:szCs w:val="20"/>
          <w:lang w:val="en-IE"/>
        </w:rPr>
        <w:t>Morcillo</w:t>
      </w:r>
      <w:proofErr w:type="spellEnd"/>
      <w:r w:rsidRPr="00777703">
        <w:rPr>
          <w:i/>
          <w:szCs w:val="20"/>
          <w:lang w:val="en-IE"/>
        </w:rPr>
        <w:t xml:space="preserve"> and Abril García</w:t>
      </w:r>
      <w:r w:rsidRPr="00777703">
        <w:rPr>
          <w:szCs w:val="20"/>
          <w:lang w:val="en-IE"/>
        </w:rPr>
        <w:t xml:space="preserve"> [2014] </w:t>
      </w:r>
      <w:r w:rsidRPr="00777703">
        <w:rPr>
          <w:szCs w:val="20"/>
        </w:rPr>
        <w:t>ECLI:EU:C:2014:2099;</w:t>
      </w:r>
      <w:r w:rsidRPr="00777703">
        <w:rPr>
          <w:szCs w:val="20"/>
          <w:lang w:val="en-IE"/>
        </w:rPr>
        <w:t xml:space="preserve"> Cases C-482/13, C-484/13, C-485/13; Case C-539/14 </w:t>
      </w:r>
      <w:r w:rsidRPr="00777703">
        <w:rPr>
          <w:i/>
          <w:szCs w:val="20"/>
          <w:lang w:val="en-IE"/>
        </w:rPr>
        <w:t xml:space="preserve">Sánchez </w:t>
      </w:r>
      <w:proofErr w:type="spellStart"/>
      <w:r w:rsidRPr="00777703">
        <w:rPr>
          <w:i/>
          <w:szCs w:val="20"/>
          <w:lang w:val="en-IE"/>
        </w:rPr>
        <w:t>Morcillo</w:t>
      </w:r>
      <w:proofErr w:type="spellEnd"/>
      <w:r w:rsidRPr="00777703">
        <w:rPr>
          <w:i/>
          <w:szCs w:val="20"/>
          <w:lang w:val="en-IE"/>
        </w:rPr>
        <w:t xml:space="preserve"> and Abril García</w:t>
      </w:r>
      <w:r w:rsidRPr="00777703">
        <w:rPr>
          <w:szCs w:val="20"/>
          <w:lang w:val="en-IE"/>
        </w:rPr>
        <w:t xml:space="preserve"> [2015]; Case C-8/14 </w:t>
      </w:r>
      <w:r w:rsidRPr="00777703">
        <w:rPr>
          <w:i/>
          <w:szCs w:val="20"/>
          <w:lang w:val="en-IE"/>
        </w:rPr>
        <w:t>BBVA</w:t>
      </w:r>
      <w:r w:rsidRPr="00777703">
        <w:rPr>
          <w:szCs w:val="20"/>
          <w:lang w:val="en-IE"/>
        </w:rPr>
        <w:t xml:space="preserve"> [2015]; Case C-49/14 </w:t>
      </w:r>
      <w:proofErr w:type="spellStart"/>
      <w:r w:rsidRPr="00777703">
        <w:rPr>
          <w:i/>
          <w:szCs w:val="20"/>
          <w:lang w:val="en-IE"/>
        </w:rPr>
        <w:t>Finanmadrid</w:t>
      </w:r>
      <w:proofErr w:type="spellEnd"/>
      <w:r w:rsidRPr="00777703">
        <w:rPr>
          <w:i/>
          <w:szCs w:val="20"/>
          <w:lang w:val="en-IE"/>
        </w:rPr>
        <w:t xml:space="preserve"> EFC</w:t>
      </w:r>
      <w:r w:rsidRPr="00777703">
        <w:rPr>
          <w:szCs w:val="20"/>
          <w:lang w:val="en-IE"/>
        </w:rPr>
        <w:t xml:space="preserve"> [2016]; Case C-421/14 </w:t>
      </w:r>
      <w:r w:rsidRPr="00777703">
        <w:rPr>
          <w:i/>
          <w:szCs w:val="20"/>
          <w:lang w:val="en-IE"/>
        </w:rPr>
        <w:t>Banco Primus</w:t>
      </w:r>
      <w:r w:rsidRPr="00777703">
        <w:rPr>
          <w:szCs w:val="20"/>
          <w:lang w:val="en-IE"/>
        </w:rPr>
        <w:t xml:space="preserve"> [2017].</w:t>
      </w:r>
    </w:p>
  </w:footnote>
  <w:footnote w:id="127">
    <w:p w14:paraId="7A476B30"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Steve Peers </w:t>
      </w:r>
      <w:r w:rsidRPr="00777703">
        <w:rPr>
          <w:szCs w:val="20"/>
          <w:lang w:val="en-IE"/>
        </w:rPr>
        <w:t>et</w:t>
      </w:r>
      <w:r w:rsidRPr="00395E14">
        <w:rPr>
          <w:i/>
          <w:szCs w:val="20"/>
          <w:lang w:val="en-IE"/>
        </w:rPr>
        <w:t xml:space="preserve"> </w:t>
      </w:r>
      <w:r w:rsidRPr="00777703">
        <w:rPr>
          <w:szCs w:val="20"/>
          <w:lang w:val="en-IE"/>
        </w:rPr>
        <w:t>al</w:t>
      </w:r>
      <w:r w:rsidRPr="00395E14">
        <w:rPr>
          <w:szCs w:val="20"/>
          <w:lang w:val="en-IE"/>
        </w:rPr>
        <w:t>,</w:t>
      </w:r>
      <w:r w:rsidRPr="00395E14">
        <w:rPr>
          <w:i/>
          <w:szCs w:val="20"/>
          <w:lang w:val="en-IE"/>
        </w:rPr>
        <w:t xml:space="preserve"> The EU Charter of Fundamental Rights: A Commentary</w:t>
      </w:r>
      <w:r w:rsidRPr="00395E14">
        <w:rPr>
          <w:szCs w:val="20"/>
          <w:lang w:val="en-IE"/>
        </w:rPr>
        <w:t xml:space="preserve"> (Oxford</w:t>
      </w:r>
      <w:r w:rsidRPr="00777703">
        <w:rPr>
          <w:szCs w:val="20"/>
          <w:lang w:val="en-IE"/>
        </w:rPr>
        <w:t>,</w:t>
      </w:r>
      <w:r w:rsidRPr="00395E14">
        <w:rPr>
          <w:szCs w:val="20"/>
          <w:lang w:val="en-IE"/>
        </w:rPr>
        <w:t xml:space="preserve"> Hart 2014).</w:t>
      </w:r>
    </w:p>
  </w:footnote>
  <w:footnote w:id="128">
    <w:p w14:paraId="20E8161D"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i/>
          <w:szCs w:val="20"/>
          <w:lang w:val="en-IE"/>
        </w:rPr>
        <w:t>Explanations Relating to the Charter of Fundamental Rights</w:t>
      </w:r>
      <w:r w:rsidRPr="00395E14">
        <w:rPr>
          <w:szCs w:val="20"/>
          <w:lang w:val="en-IE"/>
        </w:rPr>
        <w:t xml:space="preserve"> (OJ 2007/C 303/02).</w:t>
      </w:r>
    </w:p>
  </w:footnote>
  <w:footnote w:id="129">
    <w:p w14:paraId="02A50BD0" w14:textId="77777777" w:rsidR="00C859A0" w:rsidRPr="00777703" w:rsidRDefault="00C859A0" w:rsidP="00FB7DCE">
      <w:pPr>
        <w:pStyle w:val="FootnoteText"/>
        <w:spacing w:before="0" w:after="0" w:line="240" w:lineRule="auto"/>
        <w:rPr>
          <w:szCs w:val="20"/>
          <w:lang w:val="en-IE"/>
        </w:rPr>
      </w:pPr>
      <w:r w:rsidRPr="00395E14">
        <w:rPr>
          <w:rStyle w:val="FootnoteReference"/>
          <w:szCs w:val="20"/>
        </w:rPr>
        <w:footnoteRef/>
      </w:r>
      <w:r w:rsidRPr="00395E14">
        <w:rPr>
          <w:bCs/>
          <w:i/>
          <w:szCs w:val="20"/>
          <w:lang w:val="en-IE"/>
        </w:rPr>
        <w:t xml:space="preserve"> </w:t>
      </w:r>
      <w:r w:rsidRPr="00395E14">
        <w:rPr>
          <w:bCs/>
          <w:szCs w:val="20"/>
          <w:lang w:val="en-IE"/>
        </w:rPr>
        <w:t>Case C-34/13</w:t>
      </w:r>
      <w:r w:rsidRPr="00395E14">
        <w:rPr>
          <w:bCs/>
          <w:i/>
          <w:szCs w:val="20"/>
          <w:lang w:val="en-IE"/>
        </w:rPr>
        <w:t xml:space="preserve"> </w:t>
      </w:r>
      <w:proofErr w:type="spellStart"/>
      <w:r w:rsidRPr="00395E14">
        <w:rPr>
          <w:bCs/>
          <w:i/>
          <w:szCs w:val="20"/>
        </w:rPr>
        <w:t>Kušionová</w:t>
      </w:r>
      <w:proofErr w:type="spellEnd"/>
      <w:r w:rsidRPr="00395E14">
        <w:rPr>
          <w:bCs/>
          <w:i/>
          <w:szCs w:val="20"/>
        </w:rPr>
        <w:t xml:space="preserve"> </w:t>
      </w:r>
      <w:r w:rsidRPr="00395E14">
        <w:rPr>
          <w:i/>
          <w:szCs w:val="20"/>
        </w:rPr>
        <w:t xml:space="preserve">v </w:t>
      </w:r>
      <w:r w:rsidRPr="00777703">
        <w:rPr>
          <w:bCs/>
          <w:i/>
          <w:szCs w:val="20"/>
        </w:rPr>
        <w:t xml:space="preserve">SMART Capital </w:t>
      </w:r>
      <w:proofErr w:type="spellStart"/>
      <w:r w:rsidRPr="00777703">
        <w:rPr>
          <w:bCs/>
          <w:i/>
          <w:szCs w:val="20"/>
        </w:rPr>
        <w:t>a.s.</w:t>
      </w:r>
      <w:proofErr w:type="spellEnd"/>
      <w:r w:rsidRPr="00777703">
        <w:rPr>
          <w:bCs/>
          <w:szCs w:val="20"/>
        </w:rPr>
        <w:t xml:space="preserve"> paras 63–65.</w:t>
      </w:r>
    </w:p>
  </w:footnote>
  <w:footnote w:id="130">
    <w:p w14:paraId="10C2E3A9"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proofErr w:type="spellStart"/>
      <w:r w:rsidRPr="00395E14">
        <w:rPr>
          <w:szCs w:val="20"/>
          <w:lang w:val="en-US"/>
        </w:rPr>
        <w:t>Anthi</w:t>
      </w:r>
      <w:proofErr w:type="spellEnd"/>
      <w:r w:rsidRPr="00395E14">
        <w:rPr>
          <w:szCs w:val="20"/>
          <w:lang w:val="en-US"/>
        </w:rPr>
        <w:t xml:space="preserve"> </w:t>
      </w:r>
      <w:proofErr w:type="spellStart"/>
      <w:r w:rsidRPr="00395E14">
        <w:rPr>
          <w:szCs w:val="20"/>
          <w:lang w:val="en-US"/>
        </w:rPr>
        <w:t>Beka</w:t>
      </w:r>
      <w:proofErr w:type="spellEnd"/>
      <w:r w:rsidRPr="00395E14">
        <w:rPr>
          <w:szCs w:val="20"/>
          <w:lang w:val="en-US"/>
        </w:rPr>
        <w:t xml:space="preserve"> points out in ‘The Protection of the Primary Residence of Mortgage Debtors: Embedding a </w:t>
      </w:r>
      <w:r w:rsidRPr="00777703">
        <w:rPr>
          <w:szCs w:val="20"/>
          <w:lang w:val="en-US"/>
        </w:rPr>
        <w:t>“</w:t>
      </w:r>
      <w:r w:rsidRPr="00395E14">
        <w:rPr>
          <w:szCs w:val="20"/>
          <w:lang w:val="en-US"/>
        </w:rPr>
        <w:t>Basic Needs</w:t>
      </w:r>
      <w:r w:rsidRPr="00777703">
        <w:rPr>
          <w:szCs w:val="20"/>
          <w:lang w:val="en-US"/>
        </w:rPr>
        <w:t>”</w:t>
      </w:r>
      <w:r w:rsidRPr="00395E14">
        <w:rPr>
          <w:szCs w:val="20"/>
          <w:lang w:val="en-US"/>
        </w:rPr>
        <w:t xml:space="preserve"> Principle in Mortgage Repossession Proceedings’ in Luca </w:t>
      </w:r>
      <w:proofErr w:type="spellStart"/>
      <w:r w:rsidRPr="00395E14">
        <w:rPr>
          <w:szCs w:val="20"/>
          <w:lang w:val="en-US"/>
        </w:rPr>
        <w:t>Ratti</w:t>
      </w:r>
      <w:proofErr w:type="spellEnd"/>
      <w:r w:rsidRPr="00395E14">
        <w:rPr>
          <w:szCs w:val="20"/>
          <w:lang w:val="en-US"/>
        </w:rPr>
        <w:t xml:space="preserve"> (ed) </w:t>
      </w:r>
      <w:r w:rsidRPr="00777703">
        <w:rPr>
          <w:i/>
          <w:szCs w:val="20"/>
          <w:lang w:val="en-US"/>
        </w:rPr>
        <w:t xml:space="preserve">Embedding the Principles of </w:t>
      </w:r>
      <w:proofErr w:type="gramStart"/>
      <w:r w:rsidRPr="00777703">
        <w:rPr>
          <w:i/>
          <w:szCs w:val="20"/>
          <w:lang w:val="en-US"/>
        </w:rPr>
        <w:t>Life Time</w:t>
      </w:r>
      <w:proofErr w:type="gramEnd"/>
      <w:r w:rsidRPr="00777703">
        <w:rPr>
          <w:i/>
          <w:szCs w:val="20"/>
          <w:lang w:val="en-US"/>
        </w:rPr>
        <w:t xml:space="preserve"> Contracts</w:t>
      </w:r>
      <w:r w:rsidRPr="00777703">
        <w:rPr>
          <w:szCs w:val="20"/>
          <w:lang w:val="en-US"/>
        </w:rPr>
        <w:t xml:space="preserve"> (The Hague, Eleven Publishing 2018), that the MCD also provides a link in European legislation between credit default, indebtedness and the family home. Of course, the proposed Directive on credit servicers, credit purchasers and the recovery of collateral </w:t>
      </w:r>
      <w:proofErr w:type="gramStart"/>
      <w:r w:rsidRPr="00777703">
        <w:rPr>
          <w:szCs w:val="20"/>
          <w:lang w:val="en-US"/>
        </w:rPr>
        <w:t>Com(</w:t>
      </w:r>
      <w:proofErr w:type="gramEnd"/>
      <w:r w:rsidRPr="00777703">
        <w:rPr>
          <w:szCs w:val="20"/>
          <w:lang w:val="en-US"/>
        </w:rPr>
        <w:t>2018)135 final 2018/0063(COD),</w:t>
      </w:r>
      <w:r w:rsidRPr="00395E14">
        <w:rPr>
          <w:szCs w:val="20"/>
          <w:lang w:val="en-US"/>
        </w:rPr>
        <w:t xml:space="preserve"> which advances the use of extra judicial enforcement of collateral default</w:t>
      </w:r>
      <w:r w:rsidRPr="00777703">
        <w:rPr>
          <w:szCs w:val="20"/>
          <w:lang w:val="en-US"/>
        </w:rPr>
        <w:t>,</w:t>
      </w:r>
      <w:r w:rsidRPr="00395E14">
        <w:rPr>
          <w:szCs w:val="20"/>
          <w:lang w:val="en-US"/>
        </w:rPr>
        <w:t xml:space="preserve"> proposes that </w:t>
      </w:r>
      <w:r w:rsidRPr="00777703">
        <w:rPr>
          <w:szCs w:val="20"/>
          <w:lang w:val="en-US"/>
        </w:rPr>
        <w:t>‘</w:t>
      </w:r>
      <w:r w:rsidRPr="00395E14">
        <w:rPr>
          <w:szCs w:val="20"/>
        </w:rPr>
        <w:t>Even for business borrowers, the main residence of a business owner will be excluded from the scope, based on social considerations.</w:t>
      </w:r>
      <w:r w:rsidRPr="00777703">
        <w:rPr>
          <w:szCs w:val="20"/>
        </w:rPr>
        <w:t>’</w:t>
      </w:r>
      <w:r w:rsidRPr="00395E14">
        <w:rPr>
          <w:szCs w:val="20"/>
        </w:rPr>
        <w:t xml:space="preserve"> Thus, the development of three EU legislative areas </w:t>
      </w:r>
      <w:proofErr w:type="gramStart"/>
      <w:r w:rsidRPr="00777703">
        <w:rPr>
          <w:szCs w:val="20"/>
        </w:rPr>
        <w:t>are</w:t>
      </w:r>
      <w:proofErr w:type="gramEnd"/>
      <w:r w:rsidRPr="00777703">
        <w:rPr>
          <w:szCs w:val="20"/>
        </w:rPr>
        <w:t xml:space="preserve"> viewing contracts relating to home loans as a special type of consumer contract subject to different considerations than other loans.</w:t>
      </w:r>
    </w:p>
  </w:footnote>
  <w:footnote w:id="131">
    <w:p w14:paraId="1FA48D9C"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See &lt;</w:t>
      </w:r>
      <w:hyperlink r:id="rId11" w:history="1">
        <w:r w:rsidRPr="00777703">
          <w:rPr>
            <w:rStyle w:val="Hyperlink"/>
            <w:color w:val="auto"/>
            <w:szCs w:val="20"/>
            <w:u w:val="none"/>
          </w:rPr>
          <w:t>https://ec.europa.eu/commission/sites/beta-political/files/social-summit-european-pillar-social-rights-booklet_en.pdf</w:t>
        </w:r>
      </w:hyperlink>
      <w:r w:rsidRPr="00777703">
        <w:rPr>
          <w:rStyle w:val="Hyperlink"/>
          <w:color w:val="auto"/>
          <w:szCs w:val="20"/>
          <w:u w:val="none"/>
        </w:rPr>
        <w:t>&gt;.</w:t>
      </w:r>
    </w:p>
  </w:footnote>
  <w:footnote w:id="132">
    <w:p w14:paraId="06D96188"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FEANTSA/Abbe Pierre</w:t>
      </w:r>
      <w:r w:rsidRPr="00395E14">
        <w:rPr>
          <w:szCs w:val="20"/>
          <w:lang w:val="en-IE"/>
        </w:rPr>
        <w:t xml:space="preserve"> Foundation, </w:t>
      </w:r>
      <w:r w:rsidRPr="00395E14">
        <w:rPr>
          <w:i/>
          <w:szCs w:val="20"/>
          <w:lang w:val="en-IE"/>
        </w:rPr>
        <w:t>Third Overview of Housing Exclusion in Europe 2018</w:t>
      </w:r>
      <w:r w:rsidRPr="00395E14">
        <w:rPr>
          <w:szCs w:val="20"/>
          <w:lang w:val="en-IE"/>
        </w:rPr>
        <w:t xml:space="preserve"> (FEANTSA 2018) 91/92.</w:t>
      </w:r>
    </w:p>
  </w:footnote>
  <w:footnote w:id="133">
    <w:p w14:paraId="5C7F594C"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Pr>
          <w:szCs w:val="20"/>
        </w:rPr>
        <w:t>Ibid</w:t>
      </w:r>
      <w:r w:rsidRPr="00777703">
        <w:rPr>
          <w:szCs w:val="20"/>
        </w:rPr>
        <w:t>.</w:t>
      </w:r>
    </w:p>
  </w:footnote>
  <w:footnote w:id="134">
    <w:p w14:paraId="1C91AFF9" w14:textId="77777777" w:rsidR="00C859A0" w:rsidRPr="00395E14" w:rsidRDefault="00C859A0" w:rsidP="00FB7DCE">
      <w:pPr>
        <w:pStyle w:val="FootnoteText"/>
        <w:spacing w:before="0" w:after="0" w:line="240" w:lineRule="auto"/>
        <w:rPr>
          <w:bCs/>
          <w:szCs w:val="20"/>
          <w:lang w:val="es-PE"/>
        </w:rPr>
      </w:pPr>
      <w:r w:rsidRPr="00395E14">
        <w:rPr>
          <w:rStyle w:val="FootnoteReference"/>
          <w:szCs w:val="20"/>
        </w:rPr>
        <w:footnoteRef/>
      </w:r>
      <w:r w:rsidRPr="00395E14">
        <w:rPr>
          <w:szCs w:val="20"/>
        </w:rPr>
        <w:t xml:space="preserve"> </w:t>
      </w:r>
      <w:proofErr w:type="spellStart"/>
      <w:r w:rsidRPr="00395E14">
        <w:rPr>
          <w:szCs w:val="20"/>
          <w:lang w:val="es-ES_tradnl"/>
        </w:rPr>
        <w:t>Housing</w:t>
      </w:r>
      <w:proofErr w:type="spellEnd"/>
      <w:r w:rsidRPr="00395E14">
        <w:rPr>
          <w:szCs w:val="20"/>
          <w:lang w:val="es-ES_tradnl"/>
        </w:rPr>
        <w:t xml:space="preserve"> </w:t>
      </w:r>
      <w:proofErr w:type="spellStart"/>
      <w:r w:rsidRPr="00395E14">
        <w:rPr>
          <w:szCs w:val="20"/>
          <w:lang w:val="es-ES_tradnl"/>
        </w:rPr>
        <w:t>Europe</w:t>
      </w:r>
      <w:proofErr w:type="spellEnd"/>
      <w:r w:rsidRPr="00395E14">
        <w:rPr>
          <w:szCs w:val="20"/>
          <w:lang w:val="es-ES_tradnl"/>
        </w:rPr>
        <w:t>,</w:t>
      </w:r>
      <w:r w:rsidRPr="00395E14">
        <w:rPr>
          <w:szCs w:val="20"/>
          <w:lang w:val="es-PE"/>
        </w:rPr>
        <w:t xml:space="preserve"> </w:t>
      </w:r>
      <w:r w:rsidRPr="00395E14">
        <w:rPr>
          <w:bCs/>
          <w:i/>
          <w:szCs w:val="20"/>
          <w:lang w:val="es-PE"/>
        </w:rPr>
        <w:t>Housing in the European Pillar of Social Rights</w:t>
      </w:r>
      <w:r w:rsidRPr="00777703">
        <w:rPr>
          <w:bCs/>
          <w:i/>
          <w:szCs w:val="20"/>
          <w:lang w:val="es-PE"/>
        </w:rPr>
        <w:t>:</w:t>
      </w:r>
      <w:r w:rsidRPr="00395E14">
        <w:rPr>
          <w:bCs/>
          <w:i/>
          <w:szCs w:val="20"/>
          <w:lang w:val="es-PE"/>
        </w:rPr>
        <w:t xml:space="preserve"> </w:t>
      </w:r>
      <w:r w:rsidRPr="00395E14">
        <w:rPr>
          <w:i/>
          <w:szCs w:val="20"/>
          <w:lang w:val="es-PE"/>
        </w:rPr>
        <w:t xml:space="preserve">A </w:t>
      </w:r>
      <w:r w:rsidRPr="00777703">
        <w:rPr>
          <w:i/>
          <w:szCs w:val="20"/>
          <w:lang w:val="es-PE"/>
        </w:rPr>
        <w:t>C</w:t>
      </w:r>
      <w:r w:rsidRPr="00395E14">
        <w:rPr>
          <w:i/>
          <w:szCs w:val="20"/>
          <w:lang w:val="es-PE"/>
        </w:rPr>
        <w:t xml:space="preserve">ritical </w:t>
      </w:r>
      <w:r w:rsidRPr="00777703">
        <w:rPr>
          <w:i/>
          <w:szCs w:val="20"/>
          <w:lang w:val="es-PE"/>
        </w:rPr>
        <w:t>R</w:t>
      </w:r>
      <w:r w:rsidRPr="00395E14">
        <w:rPr>
          <w:i/>
          <w:szCs w:val="20"/>
          <w:lang w:val="es-PE"/>
        </w:rPr>
        <w:t>eview</w:t>
      </w:r>
      <w:r w:rsidRPr="00777703">
        <w:rPr>
          <w:szCs w:val="20"/>
          <w:lang w:val="es-ES_tradnl"/>
        </w:rPr>
        <w:t xml:space="preserve"> (</w:t>
      </w:r>
      <w:proofErr w:type="spellStart"/>
      <w:r w:rsidRPr="00395E14">
        <w:rPr>
          <w:szCs w:val="20"/>
          <w:lang w:val="es-ES_tradnl"/>
        </w:rPr>
        <w:t>Housing</w:t>
      </w:r>
      <w:proofErr w:type="spellEnd"/>
      <w:r w:rsidRPr="00395E14">
        <w:rPr>
          <w:szCs w:val="20"/>
          <w:lang w:val="es-ES_tradnl"/>
        </w:rPr>
        <w:t xml:space="preserve"> </w:t>
      </w:r>
      <w:proofErr w:type="spellStart"/>
      <w:r w:rsidRPr="00395E14">
        <w:rPr>
          <w:szCs w:val="20"/>
          <w:lang w:val="es-ES_tradnl"/>
        </w:rPr>
        <w:t>Europe</w:t>
      </w:r>
      <w:proofErr w:type="spellEnd"/>
      <w:r w:rsidRPr="00395E14">
        <w:rPr>
          <w:szCs w:val="20"/>
          <w:lang w:val="es-ES_tradnl"/>
        </w:rPr>
        <w:t xml:space="preserve">, </w:t>
      </w:r>
      <w:r w:rsidRPr="00395E14">
        <w:rPr>
          <w:szCs w:val="20"/>
          <w:lang w:val="es-PE"/>
        </w:rPr>
        <w:t>April 2017) &lt;</w:t>
      </w:r>
      <w:r w:rsidR="009E4021">
        <w:fldChar w:fldCharType="begin"/>
      </w:r>
      <w:r w:rsidR="009E4021">
        <w:instrText xml:space="preserve"> HYPERLINK "http://www.housingeurope.eu/resource-930/housing-in-the-european-pillar-of-social-rights" </w:instrText>
      </w:r>
      <w:r w:rsidR="009E4021">
        <w:fldChar w:fldCharType="separate"/>
      </w:r>
      <w:r w:rsidRPr="00777703">
        <w:rPr>
          <w:rStyle w:val="Hyperlink"/>
          <w:color w:val="auto"/>
          <w:szCs w:val="20"/>
          <w:u w:val="none"/>
          <w:lang w:val="es-PE"/>
        </w:rPr>
        <w:t>http://www.housingeurope.eu/resource-930/housing-in-the-european-pillar-of-social-rights</w:t>
      </w:r>
      <w:r w:rsidR="009E4021">
        <w:rPr>
          <w:rStyle w:val="Hyperlink"/>
          <w:color w:val="auto"/>
          <w:szCs w:val="20"/>
          <w:u w:val="none"/>
          <w:lang w:val="es-PE"/>
        </w:rPr>
        <w:fldChar w:fldCharType="end"/>
      </w:r>
      <w:r w:rsidRPr="00395E14">
        <w:rPr>
          <w:szCs w:val="20"/>
          <w:lang w:val="es-PE"/>
        </w:rPr>
        <w:t>&gt;</w:t>
      </w:r>
      <w:r w:rsidRPr="00777703">
        <w:rPr>
          <w:szCs w:val="20"/>
          <w:lang w:val="es-PE"/>
        </w:rPr>
        <w:t>.</w:t>
      </w:r>
    </w:p>
  </w:footnote>
  <w:footnote w:id="135">
    <w:p w14:paraId="1C18A47F"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For the essential differences between and development of civil and common law systems in property law in Europe see S Van </w:t>
      </w:r>
      <w:proofErr w:type="spellStart"/>
      <w:r w:rsidRPr="00395E14">
        <w:rPr>
          <w:szCs w:val="20"/>
        </w:rPr>
        <w:t>Erp</w:t>
      </w:r>
      <w:proofErr w:type="spellEnd"/>
      <w:r w:rsidRPr="00777703">
        <w:rPr>
          <w:szCs w:val="20"/>
        </w:rPr>
        <w:t>,</w:t>
      </w:r>
      <w:r w:rsidRPr="00395E14">
        <w:rPr>
          <w:szCs w:val="20"/>
        </w:rPr>
        <w:t xml:space="preserve"> ‘From “classical” to modern European property law’ in </w:t>
      </w:r>
      <w:r w:rsidRPr="00395E14">
        <w:rPr>
          <w:i/>
          <w:szCs w:val="20"/>
        </w:rPr>
        <w:t xml:space="preserve">Essays in Honour of Konstantinos D </w:t>
      </w:r>
      <w:proofErr w:type="spellStart"/>
      <w:r w:rsidRPr="00395E14">
        <w:rPr>
          <w:i/>
          <w:szCs w:val="20"/>
        </w:rPr>
        <w:t>Kerameus</w:t>
      </w:r>
      <w:proofErr w:type="spellEnd"/>
      <w:r w:rsidRPr="00395E14">
        <w:rPr>
          <w:i/>
          <w:szCs w:val="20"/>
        </w:rPr>
        <w:t xml:space="preserve">/Festschrift </w:t>
      </w:r>
      <w:proofErr w:type="spellStart"/>
      <w:r w:rsidRPr="00395E14">
        <w:rPr>
          <w:i/>
          <w:szCs w:val="20"/>
        </w:rPr>
        <w:t>für</w:t>
      </w:r>
      <w:proofErr w:type="spellEnd"/>
      <w:r w:rsidRPr="00395E14">
        <w:rPr>
          <w:i/>
          <w:szCs w:val="20"/>
        </w:rPr>
        <w:t xml:space="preserve"> Konstantinos D </w:t>
      </w:r>
      <w:proofErr w:type="spellStart"/>
      <w:r w:rsidRPr="00395E14">
        <w:rPr>
          <w:i/>
          <w:szCs w:val="20"/>
        </w:rPr>
        <w:t>Kerameus</w:t>
      </w:r>
      <w:proofErr w:type="spellEnd"/>
      <w:r w:rsidRPr="00395E14">
        <w:rPr>
          <w:szCs w:val="20"/>
        </w:rPr>
        <w:t xml:space="preserve"> Vol I (1517–1533) (Athens/Brussels, Ant. A </w:t>
      </w:r>
      <w:proofErr w:type="spellStart"/>
      <w:r w:rsidRPr="00395E14">
        <w:rPr>
          <w:szCs w:val="20"/>
        </w:rPr>
        <w:t>Sakkoulas</w:t>
      </w:r>
      <w:proofErr w:type="spellEnd"/>
      <w:r w:rsidRPr="00395E14">
        <w:rPr>
          <w:szCs w:val="20"/>
        </w:rPr>
        <w:t>/</w:t>
      </w:r>
      <w:proofErr w:type="spellStart"/>
      <w:r w:rsidRPr="00395E14">
        <w:rPr>
          <w:szCs w:val="20"/>
        </w:rPr>
        <w:t>Bruylant</w:t>
      </w:r>
      <w:proofErr w:type="spellEnd"/>
      <w:r w:rsidRPr="00395E14">
        <w:rPr>
          <w:szCs w:val="20"/>
        </w:rPr>
        <w:t>) &lt;</w:t>
      </w:r>
      <w:hyperlink r:id="rId12" w:history="1">
        <w:r w:rsidRPr="00777703">
          <w:rPr>
            <w:rStyle w:val="Hyperlink"/>
            <w:color w:val="auto"/>
            <w:szCs w:val="20"/>
            <w:u w:val="none"/>
          </w:rPr>
          <w:t>https://papers.ssrn.com/sol3/papers.cfm?abstract_id=1372166</w:t>
        </w:r>
      </w:hyperlink>
      <w:r w:rsidRPr="00395E14">
        <w:rPr>
          <w:szCs w:val="20"/>
        </w:rPr>
        <w:t>&gt;</w:t>
      </w:r>
      <w:r w:rsidRPr="00777703">
        <w:rPr>
          <w:szCs w:val="20"/>
        </w:rPr>
        <w:t>.</w:t>
      </w:r>
    </w:p>
  </w:footnote>
  <w:footnote w:id="136">
    <w:p w14:paraId="786B6916" w14:textId="77777777" w:rsidR="00C859A0" w:rsidRPr="00777703"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While the Constitution of the Czech Republic, the </w:t>
      </w:r>
      <w:r w:rsidRPr="00395E14">
        <w:rPr>
          <w:bCs/>
          <w:szCs w:val="20"/>
          <w:lang w:val="en-IE"/>
        </w:rPr>
        <w:t>Constitution of the Fifth Republic of France (1958), and the Constitution of Sweden do not specifically refer to this, the protections in Arts 6 and 8 ECHR apply in these countries,</w:t>
      </w:r>
      <w:r w:rsidRPr="00777703">
        <w:rPr>
          <w:bCs/>
          <w:szCs w:val="20"/>
          <w:lang w:val="en-IE"/>
        </w:rPr>
        <w:t xml:space="preserve"> providing similar protection. The Human Rights Act 1998 incorporates these ECHR provisions into UK law, adding </w:t>
      </w:r>
      <w:r w:rsidRPr="00777703">
        <w:rPr>
          <w:szCs w:val="20"/>
          <w:lang w:val="en-IE"/>
        </w:rPr>
        <w:t>the requirement for the principles of fair procedures, due process and the rule of law to be taken into account in evictions, as well as court rules, since there is no single written constitutional document.</w:t>
      </w:r>
    </w:p>
  </w:footnote>
  <w:footnote w:id="137">
    <w:p w14:paraId="4BAB5FBC"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szCs w:val="20"/>
          <w:lang w:val="en-IE"/>
        </w:rPr>
        <w:t>In Poland, there is also a constitutional commitment to protecting the rights of tenants; see Art 75 Constitution of Poland 1997.</w:t>
      </w:r>
    </w:p>
  </w:footnote>
  <w:footnote w:id="138">
    <w:p w14:paraId="08849B1F" w14:textId="77777777" w:rsidR="00C859A0" w:rsidRPr="00777703" w:rsidRDefault="00C859A0" w:rsidP="00FB7DCE">
      <w:pPr>
        <w:pStyle w:val="FootnoteText"/>
        <w:suppressAutoHyphens/>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Polish Constitutional Court Decision of 4 April 2001, K 11/00, OTK-ZU [Official Journal of the Constitutional Court; Polish: </w:t>
      </w:r>
      <w:proofErr w:type="spellStart"/>
      <w:r w:rsidRPr="00777703">
        <w:rPr>
          <w:i/>
          <w:szCs w:val="20"/>
          <w:lang w:val="en-IE"/>
        </w:rPr>
        <w:t>Orzecznictwo</w:t>
      </w:r>
      <w:proofErr w:type="spellEnd"/>
      <w:r w:rsidRPr="00777703">
        <w:rPr>
          <w:i/>
          <w:szCs w:val="20"/>
          <w:lang w:val="en-IE"/>
        </w:rPr>
        <w:t xml:space="preserve"> </w:t>
      </w:r>
      <w:proofErr w:type="spellStart"/>
      <w:r w:rsidRPr="00777703">
        <w:rPr>
          <w:i/>
          <w:szCs w:val="20"/>
          <w:lang w:val="en-IE"/>
        </w:rPr>
        <w:t>Trybunału</w:t>
      </w:r>
      <w:proofErr w:type="spellEnd"/>
      <w:r w:rsidRPr="00777703">
        <w:rPr>
          <w:i/>
          <w:szCs w:val="20"/>
          <w:lang w:val="en-IE"/>
        </w:rPr>
        <w:t xml:space="preserve"> </w:t>
      </w:r>
      <w:proofErr w:type="spellStart"/>
      <w:r w:rsidRPr="00777703">
        <w:rPr>
          <w:i/>
          <w:szCs w:val="20"/>
          <w:lang w:val="en-IE"/>
        </w:rPr>
        <w:t>Konstytucyjnego</w:t>
      </w:r>
      <w:proofErr w:type="spellEnd"/>
      <w:r w:rsidRPr="00777703">
        <w:rPr>
          <w:i/>
          <w:szCs w:val="20"/>
          <w:lang w:val="en-IE"/>
        </w:rPr>
        <w:t xml:space="preserve">. </w:t>
      </w:r>
      <w:proofErr w:type="spellStart"/>
      <w:r w:rsidRPr="00777703">
        <w:rPr>
          <w:i/>
          <w:szCs w:val="20"/>
          <w:lang w:val="en-IE"/>
        </w:rPr>
        <w:t>Zbiór</w:t>
      </w:r>
      <w:proofErr w:type="spellEnd"/>
      <w:r w:rsidRPr="00777703">
        <w:rPr>
          <w:i/>
          <w:szCs w:val="20"/>
          <w:lang w:val="en-IE"/>
        </w:rPr>
        <w:t xml:space="preserve"> </w:t>
      </w:r>
      <w:proofErr w:type="spellStart"/>
      <w:r w:rsidRPr="00777703">
        <w:rPr>
          <w:i/>
          <w:szCs w:val="20"/>
          <w:lang w:val="en-IE"/>
        </w:rPr>
        <w:t>Urzędowy</w:t>
      </w:r>
      <w:proofErr w:type="spellEnd"/>
      <w:r w:rsidRPr="00777703">
        <w:rPr>
          <w:szCs w:val="20"/>
          <w:lang w:val="en-IE"/>
        </w:rPr>
        <w:t>] 2001, No 3, item 54.</w:t>
      </w:r>
    </w:p>
  </w:footnote>
  <w:footnote w:id="139">
    <w:p w14:paraId="623FB659" w14:textId="77777777" w:rsidR="00C859A0" w:rsidRPr="00395E14" w:rsidRDefault="00C859A0" w:rsidP="00FB7DCE">
      <w:pPr>
        <w:autoSpaceDE w:val="0"/>
        <w:autoSpaceDN w:val="0"/>
        <w:adjustRightInd w:val="0"/>
        <w:spacing w:before="0" w:after="0" w:line="240" w:lineRule="auto"/>
        <w:rPr>
          <w:sz w:val="20"/>
          <w:szCs w:val="20"/>
          <w:lang w:val="fr-BE" w:eastAsia="en-US"/>
        </w:rPr>
      </w:pPr>
      <w:r w:rsidRPr="00395E14">
        <w:rPr>
          <w:rStyle w:val="FootnoteReference"/>
          <w:sz w:val="20"/>
          <w:szCs w:val="20"/>
        </w:rPr>
        <w:footnoteRef/>
      </w:r>
      <w:r w:rsidRPr="00395E14">
        <w:rPr>
          <w:sz w:val="20"/>
          <w:szCs w:val="20"/>
        </w:rPr>
        <w:t xml:space="preserve"> See N </w:t>
      </w:r>
      <w:r w:rsidRPr="00777703">
        <w:rPr>
          <w:sz w:val="20"/>
          <w:szCs w:val="20"/>
        </w:rPr>
        <w:t xml:space="preserve">Moons, </w:t>
      </w:r>
      <w:r w:rsidRPr="00777703">
        <w:rPr>
          <w:i/>
          <w:iCs/>
          <w:sz w:val="20"/>
          <w:szCs w:val="20"/>
        </w:rPr>
        <w:t>The Right to Housing in Law and Society</w:t>
      </w:r>
      <w:r w:rsidRPr="00777703">
        <w:rPr>
          <w:sz w:val="20"/>
          <w:szCs w:val="20"/>
        </w:rPr>
        <w:t xml:space="preserve"> (Abingdon, Routledge 2018); N </w:t>
      </w:r>
      <w:r w:rsidRPr="00395E14">
        <w:rPr>
          <w:sz w:val="20"/>
          <w:szCs w:val="20"/>
          <w:lang w:val="fr-BE" w:eastAsia="en-US"/>
        </w:rPr>
        <w:t xml:space="preserve">Bernard, ‘L’article 23 de la Constitution: pas une botte secrète, mais pas </w:t>
      </w:r>
      <w:proofErr w:type="gramStart"/>
      <w:r w:rsidRPr="00395E14">
        <w:rPr>
          <w:sz w:val="20"/>
          <w:szCs w:val="20"/>
          <w:lang w:val="fr-BE" w:eastAsia="en-US"/>
        </w:rPr>
        <w:t>non plus</w:t>
      </w:r>
      <w:proofErr w:type="gramEnd"/>
      <w:r w:rsidRPr="00395E14">
        <w:rPr>
          <w:sz w:val="20"/>
          <w:szCs w:val="20"/>
          <w:lang w:val="fr-BE" w:eastAsia="en-US"/>
        </w:rPr>
        <w:t xml:space="preserve"> dénué de</w:t>
      </w:r>
      <w:r w:rsidRPr="00777703">
        <w:rPr>
          <w:sz w:val="20"/>
          <w:szCs w:val="20"/>
          <w:lang w:val="fr-BE" w:eastAsia="en-US"/>
        </w:rPr>
        <w:t xml:space="preserve"> toute effectivité (judiciaire)’ (2015) 23 </w:t>
      </w:r>
      <w:r w:rsidRPr="00777703">
        <w:rPr>
          <w:i/>
          <w:sz w:val="20"/>
          <w:szCs w:val="20"/>
          <w:lang w:val="fr-BE" w:eastAsia="en-US"/>
        </w:rPr>
        <w:t>JLMB</w:t>
      </w:r>
      <w:r w:rsidRPr="00777703">
        <w:rPr>
          <w:sz w:val="20"/>
          <w:szCs w:val="20"/>
          <w:lang w:val="fr-BE" w:eastAsia="en-US"/>
        </w:rPr>
        <w:t xml:space="preserve"> 1080</w:t>
      </w:r>
      <w:r w:rsidRPr="00777703">
        <w:rPr>
          <w:sz w:val="20"/>
          <w:szCs w:val="20"/>
        </w:rPr>
        <w:t>–</w:t>
      </w:r>
      <w:r w:rsidRPr="00395E14">
        <w:rPr>
          <w:sz w:val="20"/>
          <w:szCs w:val="20"/>
          <w:lang w:val="fr-BE" w:eastAsia="en-US"/>
        </w:rPr>
        <w:t>1089</w:t>
      </w:r>
      <w:r w:rsidRPr="00777703">
        <w:rPr>
          <w:sz w:val="20"/>
          <w:szCs w:val="20"/>
          <w:lang w:val="fr-BE" w:eastAsia="en-US"/>
        </w:rPr>
        <w:t>.</w:t>
      </w:r>
    </w:p>
  </w:footnote>
  <w:footnote w:id="140">
    <w:p w14:paraId="4143561D" w14:textId="77777777" w:rsidR="00C859A0" w:rsidRPr="00395E14" w:rsidRDefault="00C859A0" w:rsidP="00FB7DCE">
      <w:pPr>
        <w:pStyle w:val="FootnoteText"/>
        <w:spacing w:before="0" w:after="0" w:line="240" w:lineRule="auto"/>
        <w:rPr>
          <w:szCs w:val="20"/>
        </w:rPr>
      </w:pPr>
      <w:r w:rsidRPr="00395E14">
        <w:rPr>
          <w:szCs w:val="20"/>
          <w:vertAlign w:val="superscript"/>
        </w:rPr>
        <w:footnoteRef/>
      </w:r>
      <w:r w:rsidRPr="00395E14">
        <w:rPr>
          <w:szCs w:val="20"/>
          <w:vertAlign w:val="superscript"/>
        </w:rPr>
        <w:t xml:space="preserve"> </w:t>
      </w:r>
      <w:r w:rsidRPr="00395E14">
        <w:rPr>
          <w:szCs w:val="20"/>
        </w:rPr>
        <w:t xml:space="preserve">Droit au </w:t>
      </w:r>
      <w:proofErr w:type="spellStart"/>
      <w:r w:rsidRPr="00395E14">
        <w:rPr>
          <w:szCs w:val="20"/>
        </w:rPr>
        <w:t>logement</w:t>
      </w:r>
      <w:proofErr w:type="spellEnd"/>
      <w:r w:rsidRPr="00395E14">
        <w:rPr>
          <w:szCs w:val="20"/>
        </w:rPr>
        <w:t xml:space="preserve"> opposable (DALO) 2007 [Enforceable Right to Housing Act], Art 1, states: </w:t>
      </w:r>
      <w:r w:rsidRPr="00777703">
        <w:rPr>
          <w:szCs w:val="20"/>
        </w:rPr>
        <w:t>‘</w:t>
      </w:r>
      <w:r w:rsidRPr="00395E14">
        <w:rPr>
          <w:szCs w:val="20"/>
        </w:rPr>
        <w:t>the right to decent and independent housing is ensured by the State to any person residing on French territory who cannot access it by his own means or keep it</w:t>
      </w:r>
      <w:r w:rsidRPr="00777703">
        <w:rPr>
          <w:szCs w:val="20"/>
        </w:rPr>
        <w:t>’</w:t>
      </w:r>
      <w:r w:rsidRPr="00395E14">
        <w:rPr>
          <w:szCs w:val="20"/>
        </w:rPr>
        <w:t xml:space="preserve">. This provides for a two-tier remedial mechanism with local mediation committees, and an administrative court. See K </w:t>
      </w:r>
      <w:r w:rsidRPr="00777703">
        <w:rPr>
          <w:szCs w:val="20"/>
        </w:rPr>
        <w:t xml:space="preserve">Olds, ‘The role of courts in making the right to housing a reality throughout Europe: lessons from France and the Netherlands’ (2010) 5 (21) </w:t>
      </w:r>
      <w:r w:rsidRPr="00777703">
        <w:rPr>
          <w:i/>
          <w:szCs w:val="20"/>
        </w:rPr>
        <w:t>Wisconsin International Law Journal </w:t>
      </w:r>
      <w:r w:rsidRPr="00777703">
        <w:rPr>
          <w:szCs w:val="20"/>
        </w:rPr>
        <w:t>170–199.</w:t>
      </w:r>
      <w:r w:rsidRPr="00395E14">
        <w:rPr>
          <w:szCs w:val="20"/>
        </w:rPr>
        <w:t xml:space="preserve"> The Prefect must secure housing or pay a penalty as determined by a court for as long as the person has not been rehoused.</w:t>
      </w:r>
    </w:p>
  </w:footnote>
  <w:footnote w:id="141">
    <w:p w14:paraId="4F4B71F2" w14:textId="77777777" w:rsidR="00C859A0" w:rsidRPr="00395E14" w:rsidRDefault="00C859A0" w:rsidP="00FB7DCE">
      <w:pPr>
        <w:pStyle w:val="FootnoteText"/>
        <w:spacing w:before="0" w:after="0" w:line="240" w:lineRule="auto"/>
        <w:rPr>
          <w:szCs w:val="20"/>
          <w:lang w:val="en-IE"/>
        </w:rPr>
      </w:pPr>
      <w:r w:rsidRPr="00395E14">
        <w:rPr>
          <w:rStyle w:val="FootnoteReference"/>
          <w:szCs w:val="20"/>
          <w:lang w:val="en-IE"/>
        </w:rPr>
        <w:footnoteRef/>
      </w:r>
      <w:r w:rsidRPr="00395E14">
        <w:rPr>
          <w:szCs w:val="20"/>
          <w:lang w:val="en-IE"/>
        </w:rPr>
        <w:t xml:space="preserve"> </w:t>
      </w:r>
      <w:r w:rsidRPr="00395E14">
        <w:rPr>
          <w:szCs w:val="20"/>
          <w:lang w:val="en-IE"/>
        </w:rPr>
        <w:t xml:space="preserve">Constitution of the Free Hanseatic City of Bremen (1947). </w:t>
      </w:r>
      <w:r w:rsidRPr="00395E14">
        <w:rPr>
          <w:szCs w:val="20"/>
        </w:rPr>
        <w:t>Art 14</w:t>
      </w:r>
      <w:r w:rsidRPr="00777703">
        <w:rPr>
          <w:szCs w:val="20"/>
        </w:rPr>
        <w:t xml:space="preserve"> </w:t>
      </w:r>
      <w:r w:rsidRPr="00395E14">
        <w:rPr>
          <w:szCs w:val="20"/>
        </w:rPr>
        <w:t xml:space="preserve">(I) states that: </w:t>
      </w:r>
      <w:r w:rsidRPr="00777703">
        <w:rPr>
          <w:szCs w:val="20"/>
        </w:rPr>
        <w:t>‘</w:t>
      </w:r>
      <w:r w:rsidRPr="00395E14">
        <w:rPr>
          <w:szCs w:val="20"/>
        </w:rPr>
        <w:t xml:space="preserve">Every citizen of the </w:t>
      </w:r>
      <w:proofErr w:type="spellStart"/>
      <w:r w:rsidRPr="00395E14">
        <w:rPr>
          <w:i/>
          <w:szCs w:val="20"/>
        </w:rPr>
        <w:t>Hansestadt</w:t>
      </w:r>
      <w:proofErr w:type="spellEnd"/>
      <w:r w:rsidRPr="00395E14">
        <w:rPr>
          <w:i/>
          <w:szCs w:val="20"/>
        </w:rPr>
        <w:t xml:space="preserve"> Bremen</w:t>
      </w:r>
      <w:r w:rsidRPr="00777703">
        <w:rPr>
          <w:szCs w:val="20"/>
        </w:rPr>
        <w:t xml:space="preserve"> has the right to an adequate dwelling. It is a duty of the state and the municipalities to facilitate the realisation of this right.’</w:t>
      </w:r>
    </w:p>
  </w:footnote>
  <w:footnote w:id="142">
    <w:p w14:paraId="1C5F41D5" w14:textId="77777777" w:rsidR="00C859A0" w:rsidRPr="00777703" w:rsidRDefault="00C859A0" w:rsidP="007A7839">
      <w:pPr>
        <w:pStyle w:val="FootnoteText"/>
        <w:spacing w:before="0" w:after="0" w:line="240" w:lineRule="auto"/>
        <w:rPr>
          <w:szCs w:val="20"/>
        </w:rPr>
      </w:pPr>
      <w:r w:rsidRPr="00395E14">
        <w:rPr>
          <w:rStyle w:val="FootnoteReference"/>
          <w:szCs w:val="20"/>
        </w:rPr>
        <w:footnoteRef/>
      </w:r>
      <w:r w:rsidRPr="00395E14">
        <w:rPr>
          <w:szCs w:val="20"/>
        </w:rPr>
        <w:t xml:space="preserve"> See </w:t>
      </w:r>
      <w:proofErr w:type="spellStart"/>
      <w:r w:rsidRPr="00395E14">
        <w:rPr>
          <w:i/>
          <w:szCs w:val="20"/>
        </w:rPr>
        <w:t>Spadea</w:t>
      </w:r>
      <w:proofErr w:type="spellEnd"/>
      <w:r w:rsidRPr="00395E14">
        <w:rPr>
          <w:i/>
          <w:szCs w:val="20"/>
        </w:rPr>
        <w:t xml:space="preserve"> and </w:t>
      </w:r>
      <w:proofErr w:type="spellStart"/>
      <w:r w:rsidRPr="00395E14">
        <w:rPr>
          <w:i/>
          <w:szCs w:val="20"/>
        </w:rPr>
        <w:t>Scalabrio</w:t>
      </w:r>
      <w:proofErr w:type="spellEnd"/>
      <w:r w:rsidRPr="00395E14">
        <w:rPr>
          <w:i/>
          <w:szCs w:val="20"/>
        </w:rPr>
        <w:t xml:space="preserve"> v Italy</w:t>
      </w:r>
      <w:r w:rsidRPr="00395E14">
        <w:rPr>
          <w:szCs w:val="20"/>
        </w:rPr>
        <w:t xml:space="preserve"> (</w:t>
      </w:r>
      <w:r w:rsidRPr="00777703">
        <w:rPr>
          <w:szCs w:val="20"/>
        </w:rPr>
        <w:t>App no </w:t>
      </w:r>
      <w:hyperlink r:id="rId13" w:anchor="{&quot;appno&quot;:[&quot;12868/87&quot;]}" w:tgtFrame="_blank" w:history="1">
        <w:r w:rsidRPr="00777703">
          <w:rPr>
            <w:rStyle w:val="Hyperlink"/>
            <w:color w:val="auto"/>
            <w:szCs w:val="20"/>
            <w:u w:val="none"/>
          </w:rPr>
          <w:t>12868/87</w:t>
        </w:r>
      </w:hyperlink>
      <w:r w:rsidRPr="00395E14">
        <w:rPr>
          <w:szCs w:val="20"/>
        </w:rPr>
        <w:t>) (Chamber) Strasbourg, 28 September 1995;</w:t>
      </w:r>
      <w:r w:rsidRPr="00395E14">
        <w:rPr>
          <w:i/>
          <w:szCs w:val="20"/>
          <w:lang w:val="it-IT"/>
        </w:rPr>
        <w:t xml:space="preserve"> Immobiliare </w:t>
      </w:r>
      <w:proofErr w:type="spellStart"/>
      <w:r w:rsidRPr="00395E14">
        <w:rPr>
          <w:i/>
          <w:szCs w:val="20"/>
          <w:lang w:val="it-IT"/>
        </w:rPr>
        <w:t>Saffi</w:t>
      </w:r>
      <w:proofErr w:type="spellEnd"/>
      <w:r w:rsidRPr="00395E14">
        <w:rPr>
          <w:i/>
          <w:szCs w:val="20"/>
          <w:lang w:val="it-IT"/>
        </w:rPr>
        <w:t xml:space="preserve"> v Italia, </w:t>
      </w:r>
      <w:r w:rsidRPr="00777703">
        <w:rPr>
          <w:szCs w:val="20"/>
          <w:lang w:val="it-IT"/>
        </w:rPr>
        <w:t xml:space="preserve">28 </w:t>
      </w:r>
      <w:proofErr w:type="spellStart"/>
      <w:r w:rsidRPr="00777703">
        <w:rPr>
          <w:szCs w:val="20"/>
          <w:lang w:val="it-IT"/>
        </w:rPr>
        <w:t>July</w:t>
      </w:r>
      <w:proofErr w:type="spellEnd"/>
      <w:r w:rsidRPr="00777703">
        <w:rPr>
          <w:szCs w:val="20"/>
          <w:lang w:val="it-IT"/>
        </w:rPr>
        <w:t xml:space="preserve"> 1999, no. </w:t>
      </w:r>
      <w:r w:rsidRPr="00777703">
        <w:rPr>
          <w:rStyle w:val="st"/>
          <w:szCs w:val="20"/>
          <w:lang w:val="it-IT"/>
        </w:rPr>
        <w:t>22774/93</w:t>
      </w:r>
      <w:r w:rsidRPr="00777703">
        <w:rPr>
          <w:szCs w:val="20"/>
          <w:lang w:val="it-IT"/>
        </w:rPr>
        <w:t xml:space="preserve">; </w:t>
      </w:r>
      <w:r w:rsidRPr="00777703">
        <w:rPr>
          <w:i/>
          <w:iCs/>
          <w:szCs w:val="20"/>
          <w:lang w:val="it-IT"/>
        </w:rPr>
        <w:t>Stornelli and Sacchi v Italia</w:t>
      </w:r>
      <w:r w:rsidRPr="00777703">
        <w:rPr>
          <w:iCs/>
          <w:szCs w:val="20"/>
          <w:lang w:val="it-IT"/>
        </w:rPr>
        <w:t>,</w:t>
      </w:r>
      <w:r w:rsidRPr="00777703">
        <w:rPr>
          <w:szCs w:val="20"/>
          <w:lang w:val="it-IT"/>
        </w:rPr>
        <w:t xml:space="preserve"> 28 </w:t>
      </w:r>
      <w:proofErr w:type="spellStart"/>
      <w:r w:rsidRPr="00777703">
        <w:rPr>
          <w:szCs w:val="20"/>
          <w:lang w:val="it-IT"/>
        </w:rPr>
        <w:t>July</w:t>
      </w:r>
      <w:proofErr w:type="spellEnd"/>
      <w:r w:rsidRPr="00777703">
        <w:rPr>
          <w:szCs w:val="20"/>
          <w:lang w:val="it-IT"/>
        </w:rPr>
        <w:t xml:space="preserve"> 2005, </w:t>
      </w:r>
      <w:r w:rsidRPr="00777703">
        <w:rPr>
          <w:rStyle w:val="st"/>
          <w:szCs w:val="20"/>
          <w:lang w:val="it-IT"/>
        </w:rPr>
        <w:t>no. 68706/01;</w:t>
      </w:r>
      <w:r w:rsidRPr="00395E14">
        <w:rPr>
          <w:rStyle w:val="st"/>
          <w:szCs w:val="20"/>
          <w:lang w:val="it-IT"/>
        </w:rPr>
        <w:t xml:space="preserve"> </w:t>
      </w:r>
      <w:r w:rsidRPr="00395E14">
        <w:rPr>
          <w:i/>
          <w:iCs/>
          <w:szCs w:val="20"/>
          <w:lang w:val="it-IT"/>
        </w:rPr>
        <w:t>Cuccaro Granatelli v Italia,</w:t>
      </w:r>
      <w:r w:rsidRPr="00395E14">
        <w:rPr>
          <w:szCs w:val="20"/>
          <w:lang w:val="it-IT"/>
        </w:rPr>
        <w:t xml:space="preserve"> 8 </w:t>
      </w:r>
      <w:proofErr w:type="spellStart"/>
      <w:r w:rsidRPr="00395E14">
        <w:rPr>
          <w:szCs w:val="20"/>
          <w:lang w:val="it-IT"/>
        </w:rPr>
        <w:t>December</w:t>
      </w:r>
      <w:proofErr w:type="spellEnd"/>
      <w:r w:rsidRPr="00395E14">
        <w:rPr>
          <w:szCs w:val="20"/>
          <w:lang w:val="it-IT"/>
        </w:rPr>
        <w:t xml:space="preserve"> 2005, </w:t>
      </w:r>
      <w:r w:rsidRPr="00777703">
        <w:rPr>
          <w:rStyle w:val="st"/>
          <w:szCs w:val="20"/>
          <w:lang w:val="it-IT"/>
        </w:rPr>
        <w:t>no. 19830/03</w:t>
      </w:r>
      <w:r w:rsidRPr="00777703">
        <w:rPr>
          <w:szCs w:val="20"/>
        </w:rPr>
        <w:t xml:space="preserve">. </w:t>
      </w:r>
    </w:p>
  </w:footnote>
  <w:footnote w:id="143">
    <w:p w14:paraId="0D6D57F5" w14:textId="77777777" w:rsidR="00C859A0" w:rsidRPr="00777703"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sidRPr="00395E14">
        <w:rPr>
          <w:szCs w:val="20"/>
          <w:lang w:val="en-IE"/>
        </w:rPr>
        <w:t xml:space="preserve">Polish Constitutional Court Decision of 4 April 2001, K 11/00, OTK-ZU [Official Journal of the Constitutional Court; Polish: </w:t>
      </w:r>
      <w:proofErr w:type="spellStart"/>
      <w:r w:rsidRPr="00777703">
        <w:rPr>
          <w:i/>
          <w:szCs w:val="20"/>
          <w:lang w:val="en-IE"/>
        </w:rPr>
        <w:t>Orzecznictwo</w:t>
      </w:r>
      <w:proofErr w:type="spellEnd"/>
      <w:r w:rsidRPr="00777703">
        <w:rPr>
          <w:i/>
          <w:szCs w:val="20"/>
          <w:lang w:val="en-IE"/>
        </w:rPr>
        <w:t xml:space="preserve"> </w:t>
      </w:r>
      <w:proofErr w:type="spellStart"/>
      <w:r w:rsidRPr="00777703">
        <w:rPr>
          <w:i/>
          <w:szCs w:val="20"/>
          <w:lang w:val="en-IE"/>
        </w:rPr>
        <w:t>Trybunału</w:t>
      </w:r>
      <w:proofErr w:type="spellEnd"/>
      <w:r w:rsidRPr="00777703">
        <w:rPr>
          <w:i/>
          <w:szCs w:val="20"/>
          <w:lang w:val="en-IE"/>
        </w:rPr>
        <w:t xml:space="preserve"> </w:t>
      </w:r>
      <w:proofErr w:type="spellStart"/>
      <w:r w:rsidRPr="00777703">
        <w:rPr>
          <w:i/>
          <w:szCs w:val="20"/>
          <w:lang w:val="en-IE"/>
        </w:rPr>
        <w:t>Konstytucyjnego</w:t>
      </w:r>
      <w:proofErr w:type="spellEnd"/>
      <w:r w:rsidRPr="00777703">
        <w:rPr>
          <w:i/>
          <w:szCs w:val="20"/>
          <w:lang w:val="en-IE"/>
        </w:rPr>
        <w:t xml:space="preserve">. </w:t>
      </w:r>
      <w:proofErr w:type="spellStart"/>
      <w:r w:rsidRPr="00777703">
        <w:rPr>
          <w:i/>
          <w:szCs w:val="20"/>
          <w:lang w:val="en-IE"/>
        </w:rPr>
        <w:t>Zbiór</w:t>
      </w:r>
      <w:proofErr w:type="spellEnd"/>
      <w:r w:rsidRPr="00777703">
        <w:rPr>
          <w:i/>
          <w:szCs w:val="20"/>
          <w:lang w:val="en-IE"/>
        </w:rPr>
        <w:t xml:space="preserve"> </w:t>
      </w:r>
      <w:proofErr w:type="spellStart"/>
      <w:r w:rsidRPr="00777703">
        <w:rPr>
          <w:i/>
          <w:szCs w:val="20"/>
          <w:lang w:val="en-IE"/>
        </w:rPr>
        <w:t>Urzędowy</w:t>
      </w:r>
      <w:proofErr w:type="spellEnd"/>
      <w:r w:rsidRPr="00777703">
        <w:rPr>
          <w:szCs w:val="20"/>
          <w:lang w:val="en-IE"/>
        </w:rPr>
        <w:t>] 2001, No 3, item 54.</w:t>
      </w:r>
    </w:p>
  </w:footnote>
  <w:footnote w:id="144">
    <w:p w14:paraId="36D401BC" w14:textId="77777777" w:rsidR="00C859A0" w:rsidRPr="00395E14" w:rsidRDefault="00C859A0" w:rsidP="00FB7DCE">
      <w:pPr>
        <w:spacing w:before="0" w:after="0" w:line="240" w:lineRule="auto"/>
        <w:rPr>
          <w:sz w:val="20"/>
          <w:szCs w:val="20"/>
          <w:lang w:val="en-US"/>
        </w:rPr>
      </w:pPr>
      <w:r w:rsidRPr="00395E14">
        <w:rPr>
          <w:rStyle w:val="FootnoteReference"/>
          <w:sz w:val="20"/>
          <w:szCs w:val="20"/>
        </w:rPr>
        <w:footnoteRef/>
      </w:r>
      <w:r w:rsidRPr="00395E14">
        <w:rPr>
          <w:sz w:val="20"/>
          <w:szCs w:val="20"/>
        </w:rPr>
        <w:t xml:space="preserve"> </w:t>
      </w:r>
      <w:r w:rsidRPr="00777703">
        <w:rPr>
          <w:i/>
          <w:sz w:val="20"/>
          <w:szCs w:val="20"/>
        </w:rPr>
        <w:t>AMB v Spain</w:t>
      </w:r>
      <w:r w:rsidRPr="00777703">
        <w:rPr>
          <w:sz w:val="20"/>
          <w:szCs w:val="20"/>
        </w:rPr>
        <w:t>, App No. 77842/12 (ECHR, 20 February 2014).</w:t>
      </w:r>
    </w:p>
  </w:footnote>
  <w:footnote w:id="145">
    <w:p w14:paraId="7E5357D1" w14:textId="77777777" w:rsidR="00C859A0" w:rsidRPr="00777703" w:rsidRDefault="00C859A0" w:rsidP="00FB7DCE">
      <w:pPr>
        <w:pStyle w:val="FootnoteText"/>
        <w:spacing w:before="0" w:after="0" w:line="240" w:lineRule="auto"/>
        <w:rPr>
          <w:szCs w:val="20"/>
          <w:lang w:val="es-ES_tradnl"/>
        </w:rPr>
      </w:pPr>
      <w:r w:rsidRPr="00395E14">
        <w:rPr>
          <w:rStyle w:val="FootnoteReference"/>
          <w:szCs w:val="20"/>
        </w:rPr>
        <w:footnoteRef/>
      </w:r>
      <w:r w:rsidRPr="00395E14">
        <w:rPr>
          <w:szCs w:val="20"/>
        </w:rPr>
        <w:t xml:space="preserve"> </w:t>
      </w:r>
      <w:proofErr w:type="spellStart"/>
      <w:r w:rsidRPr="00395E14">
        <w:rPr>
          <w:szCs w:val="20"/>
          <w:lang w:val="es-ES_tradnl"/>
        </w:rPr>
        <w:t>According</w:t>
      </w:r>
      <w:proofErr w:type="spellEnd"/>
      <w:r w:rsidRPr="00395E14">
        <w:rPr>
          <w:szCs w:val="20"/>
          <w:lang w:val="es-ES_tradnl"/>
        </w:rPr>
        <w:t xml:space="preserve"> to </w:t>
      </w:r>
      <w:r w:rsidRPr="00395E14">
        <w:rPr>
          <w:szCs w:val="20"/>
        </w:rPr>
        <w:t xml:space="preserve">Sergio </w:t>
      </w:r>
      <w:proofErr w:type="spellStart"/>
      <w:r w:rsidRPr="00395E14">
        <w:rPr>
          <w:szCs w:val="20"/>
        </w:rPr>
        <w:t>Nasarre</w:t>
      </w:r>
      <w:proofErr w:type="spellEnd"/>
      <w:r w:rsidRPr="00395E14">
        <w:rPr>
          <w:szCs w:val="20"/>
        </w:rPr>
        <w:t>-Aznar, ‘“</w:t>
      </w:r>
      <w:proofErr w:type="spellStart"/>
      <w:r w:rsidRPr="00395E14">
        <w:rPr>
          <w:szCs w:val="20"/>
        </w:rPr>
        <w:t>Robinhoodian</w:t>
      </w:r>
      <w:proofErr w:type="spellEnd"/>
      <w:r w:rsidRPr="00395E14">
        <w:rPr>
          <w:szCs w:val="20"/>
        </w:rPr>
        <w:t xml:space="preserve">” courts’ decisions on mortgage law in Spain’ (2015) 7 (2) </w:t>
      </w:r>
      <w:r w:rsidRPr="00777703">
        <w:rPr>
          <w:i/>
          <w:szCs w:val="20"/>
        </w:rPr>
        <w:t>International Journal of Law in the Built Environment</w:t>
      </w:r>
      <w:r w:rsidRPr="00777703">
        <w:rPr>
          <w:szCs w:val="20"/>
        </w:rPr>
        <w:t xml:space="preserve"> </w:t>
      </w:r>
      <w:r w:rsidRPr="00777703">
        <w:rPr>
          <w:szCs w:val="20"/>
          <w:lang w:val="es-ES_tradnl"/>
        </w:rPr>
        <w:t>136.</w:t>
      </w:r>
    </w:p>
  </w:footnote>
  <w:footnote w:id="146">
    <w:p w14:paraId="5E5CFAEA" w14:textId="77777777" w:rsidR="00C859A0" w:rsidRPr="00395E14" w:rsidRDefault="00C859A0" w:rsidP="00FB7DCE">
      <w:pPr>
        <w:pStyle w:val="FootnoteText"/>
        <w:spacing w:before="0" w:after="0" w:line="240" w:lineRule="auto"/>
        <w:rPr>
          <w:szCs w:val="20"/>
          <w:lang w:val="es-ES_tradnl"/>
        </w:rPr>
      </w:pPr>
      <w:r w:rsidRPr="00395E14">
        <w:rPr>
          <w:rStyle w:val="FootnoteReference"/>
          <w:szCs w:val="20"/>
        </w:rPr>
        <w:footnoteRef/>
      </w:r>
      <w:r w:rsidRPr="00395E14">
        <w:rPr>
          <w:szCs w:val="20"/>
        </w:rPr>
        <w:t xml:space="preserve"> ECLI: ECLI:ES:TS: 2017:4211.</w:t>
      </w:r>
    </w:p>
  </w:footnote>
  <w:footnote w:id="147">
    <w:p w14:paraId="3012C4F1"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After three months’ arrears in Belgium and Spain; 30–180 days’ arrears in Italy, but only after seven occasions. In Italy, the forced sale may take up to three years after proc</w:t>
      </w:r>
      <w:r w:rsidRPr="00777703">
        <w:rPr>
          <w:szCs w:val="20"/>
        </w:rPr>
        <w:t>eedings are initiated and generally the process is slower, which encourages lenders to seek more conciliatory approaches, and therefore finding agreement with the debtor, which avoids eviction, is more likely. In Germany, the highest bid in the forced auction must exceed 50 per cent of the estimated value.</w:t>
      </w:r>
    </w:p>
  </w:footnote>
  <w:footnote w:id="148">
    <w:p w14:paraId="5B1A1489"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The Code of Civil Procedure provides that in cases of sale as a result of mortgage debt, the contract can oblige the new owner to allow the debtor to remain in occupation. The </w:t>
      </w:r>
      <w:proofErr w:type="spellStart"/>
      <w:r w:rsidRPr="00395E14">
        <w:rPr>
          <w:szCs w:val="20"/>
        </w:rPr>
        <w:t>Overindebtedness</w:t>
      </w:r>
      <w:proofErr w:type="spellEnd"/>
      <w:r w:rsidRPr="00395E14">
        <w:rPr>
          <w:szCs w:val="20"/>
        </w:rPr>
        <w:t xml:space="preserve"> Commission (</w:t>
      </w:r>
      <w:r w:rsidRPr="00395E14">
        <w:rPr>
          <w:i/>
          <w:szCs w:val="20"/>
        </w:rPr>
        <w:t xml:space="preserve">Commission de </w:t>
      </w:r>
      <w:proofErr w:type="spellStart"/>
      <w:r w:rsidRPr="00395E14">
        <w:rPr>
          <w:i/>
          <w:szCs w:val="20"/>
        </w:rPr>
        <w:t>surrendettement</w:t>
      </w:r>
      <w:proofErr w:type="spellEnd"/>
      <w:r w:rsidRPr="00395E14">
        <w:rPr>
          <w:szCs w:val="20"/>
        </w:rPr>
        <w:t>) can suspend an enforcement procedure for two years.</w:t>
      </w:r>
    </w:p>
  </w:footnote>
  <w:footnote w:id="149">
    <w:p w14:paraId="1292B473"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Art 765a (1) ZPO. Serious illness that may deteriorate owing to the execution of the eviction is one of the circumstances where this provision may be applied. Conseque</w:t>
      </w:r>
      <w:r w:rsidRPr="00777703">
        <w:rPr>
          <w:szCs w:val="20"/>
        </w:rPr>
        <w:t xml:space="preserve">ntly, the eviction may either be prohibited altogether, or it may be carried out when the illness is controlled through medication. </w:t>
      </w:r>
    </w:p>
  </w:footnote>
  <w:footnote w:id="150">
    <w:p w14:paraId="212149BD" w14:textId="77777777" w:rsidR="00C859A0" w:rsidRPr="00777703"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See Case C-415/11 </w:t>
      </w:r>
      <w:r w:rsidRPr="00395E14">
        <w:rPr>
          <w:i/>
          <w:szCs w:val="20"/>
        </w:rPr>
        <w:t xml:space="preserve">Mohamed Aziz v Caixa </w:t>
      </w:r>
      <w:proofErr w:type="spellStart"/>
      <w:r w:rsidRPr="00395E14">
        <w:rPr>
          <w:i/>
          <w:szCs w:val="20"/>
        </w:rPr>
        <w:t>d’Estalvis</w:t>
      </w:r>
      <w:proofErr w:type="spellEnd"/>
      <w:r w:rsidRPr="00395E14">
        <w:rPr>
          <w:i/>
          <w:szCs w:val="20"/>
        </w:rPr>
        <w:t xml:space="preserve"> de Catalunya</w:t>
      </w:r>
      <w:r w:rsidRPr="00395E14">
        <w:rPr>
          <w:szCs w:val="20"/>
        </w:rPr>
        <w:t xml:space="preserve">; Case C-280/13 </w:t>
      </w:r>
      <w:r w:rsidRPr="00395E14">
        <w:rPr>
          <w:i/>
          <w:szCs w:val="20"/>
        </w:rPr>
        <w:t xml:space="preserve">Sánchez </w:t>
      </w:r>
      <w:proofErr w:type="spellStart"/>
      <w:r w:rsidRPr="00395E14">
        <w:rPr>
          <w:i/>
          <w:szCs w:val="20"/>
        </w:rPr>
        <w:t>Morcillo</w:t>
      </w:r>
      <w:proofErr w:type="spellEnd"/>
      <w:r w:rsidRPr="00395E14">
        <w:rPr>
          <w:i/>
          <w:szCs w:val="20"/>
        </w:rPr>
        <w:t xml:space="preserve"> and Abril García</w:t>
      </w:r>
      <w:r w:rsidRPr="00777703">
        <w:rPr>
          <w:szCs w:val="20"/>
        </w:rPr>
        <w:t xml:space="preserve"> [2014], ECLI:EU:C:2014:2099; Cases C-482/13, C-484/13, C-485/13; Case C-539/14 </w:t>
      </w:r>
      <w:r w:rsidRPr="00777703">
        <w:rPr>
          <w:i/>
          <w:szCs w:val="20"/>
        </w:rPr>
        <w:t xml:space="preserve">Sánchez </w:t>
      </w:r>
      <w:proofErr w:type="spellStart"/>
      <w:r w:rsidRPr="00777703">
        <w:rPr>
          <w:i/>
          <w:szCs w:val="20"/>
        </w:rPr>
        <w:t>Morcillo</w:t>
      </w:r>
      <w:proofErr w:type="spellEnd"/>
      <w:r w:rsidRPr="00777703">
        <w:rPr>
          <w:i/>
          <w:szCs w:val="20"/>
        </w:rPr>
        <w:t xml:space="preserve"> and Abril García</w:t>
      </w:r>
      <w:r w:rsidRPr="00777703">
        <w:rPr>
          <w:szCs w:val="20"/>
        </w:rPr>
        <w:t xml:space="preserve"> [2015]; Case C-8/14 BBVA [2015]; Case C-49/14 </w:t>
      </w:r>
      <w:proofErr w:type="spellStart"/>
      <w:r w:rsidRPr="00777703">
        <w:rPr>
          <w:i/>
          <w:szCs w:val="20"/>
        </w:rPr>
        <w:t>Finanmadrid</w:t>
      </w:r>
      <w:proofErr w:type="spellEnd"/>
      <w:r w:rsidRPr="00777703">
        <w:rPr>
          <w:i/>
          <w:szCs w:val="20"/>
        </w:rPr>
        <w:t xml:space="preserve"> EFC</w:t>
      </w:r>
      <w:r w:rsidRPr="00777703">
        <w:rPr>
          <w:szCs w:val="20"/>
        </w:rPr>
        <w:t xml:space="preserve"> [2016]; Case C-421/14 </w:t>
      </w:r>
      <w:r w:rsidRPr="00777703">
        <w:rPr>
          <w:i/>
          <w:szCs w:val="20"/>
        </w:rPr>
        <w:t>Banco Primus</w:t>
      </w:r>
      <w:r w:rsidRPr="00777703">
        <w:rPr>
          <w:szCs w:val="20"/>
        </w:rPr>
        <w:t xml:space="preserve"> [2017].</w:t>
      </w:r>
    </w:p>
  </w:footnote>
  <w:footnote w:id="151">
    <w:p w14:paraId="1516A6B6" w14:textId="77777777" w:rsidR="00C859A0" w:rsidRPr="00777703"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sidRPr="00395E14">
        <w:rPr>
          <w:bCs/>
          <w:szCs w:val="20"/>
        </w:rPr>
        <w:t>Unlike civil law countries, Ireland, with its common law system, does not use the term foreclosure, although it is widely used in ECB, EBA and European Commission literature</w:t>
      </w:r>
      <w:r w:rsidRPr="00777703">
        <w:rPr>
          <w:szCs w:val="20"/>
        </w:rPr>
        <w:t>. Foreclosure was abolished in Irish law through legislation in 2009, although this does not change the rights of mortgagees to acquire rights of possession and sale in default.</w:t>
      </w:r>
    </w:p>
  </w:footnote>
  <w:footnote w:id="152">
    <w:p w14:paraId="21065FCC"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w:t>
      </w:r>
      <w:r w:rsidRPr="00395E14">
        <w:rPr>
          <w:szCs w:val="20"/>
          <w:shd w:val="clear" w:color="auto" w:fill="FFFFFF"/>
        </w:rPr>
        <w:t>SI No 171 of 2016, Circuit Court Rules (Actions for Possession, Sale and Well-Charging Relief) 2016</w:t>
      </w:r>
      <w:r w:rsidRPr="00777703">
        <w:rPr>
          <w:rStyle w:val="Hyperlink"/>
          <w:color w:val="auto"/>
          <w:szCs w:val="20"/>
          <w:u w:val="none"/>
          <w:shd w:val="clear" w:color="auto" w:fill="FFFFFF"/>
        </w:rPr>
        <w:t>.</w:t>
      </w:r>
    </w:p>
  </w:footnote>
  <w:footnote w:id="153">
    <w:p w14:paraId="0C95DA1F"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Similar legislation was introduced in Spain in 2013, providing for short contracts, limited security of tenure and market rents.</w:t>
      </w:r>
    </w:p>
  </w:footnote>
  <w:footnote w:id="154">
    <w:p w14:paraId="6BDD95E6"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777703">
        <w:rPr>
          <w:rFonts w:eastAsia="Calibri"/>
          <w:szCs w:val="20"/>
        </w:rPr>
        <w:t xml:space="preserve"> Tenants can request extension of time of up to three years before vacating after an order is granted.</w:t>
      </w:r>
    </w:p>
  </w:footnote>
  <w:footnote w:id="155">
    <w:p w14:paraId="2ECC9310" w14:textId="77777777" w:rsidR="00C859A0" w:rsidRPr="00395E14" w:rsidRDefault="00C859A0" w:rsidP="00FB7DCE">
      <w:pPr>
        <w:pStyle w:val="FootnoteText"/>
        <w:spacing w:before="0" w:after="0" w:line="240" w:lineRule="auto"/>
        <w:rPr>
          <w:szCs w:val="20"/>
          <w:lang w:val="en-IE"/>
        </w:rPr>
      </w:pPr>
      <w:r w:rsidRPr="00395E14">
        <w:rPr>
          <w:rStyle w:val="FootnoteCharacters"/>
          <w:szCs w:val="20"/>
          <w:vertAlign w:val="superscript"/>
          <w:lang w:val="en-IE"/>
        </w:rPr>
        <w:footnoteRef/>
      </w:r>
      <w:r w:rsidRPr="00395E14">
        <w:rPr>
          <w:szCs w:val="20"/>
          <w:lang w:val="en-IE"/>
        </w:rPr>
        <w:t xml:space="preserve"> </w:t>
      </w:r>
      <w:r w:rsidRPr="00395E14">
        <w:rPr>
          <w:szCs w:val="20"/>
          <w:lang w:val="en-IE"/>
        </w:rPr>
        <w:t>German Civil Code (</w:t>
      </w:r>
      <w:proofErr w:type="spellStart"/>
      <w:r w:rsidRPr="00395E14">
        <w:rPr>
          <w:i/>
          <w:szCs w:val="20"/>
          <w:lang w:val="en-IE"/>
        </w:rPr>
        <w:t>Bürgerliches</w:t>
      </w:r>
      <w:proofErr w:type="spellEnd"/>
      <w:r w:rsidRPr="00395E14">
        <w:rPr>
          <w:i/>
          <w:szCs w:val="20"/>
          <w:lang w:val="en-IE"/>
        </w:rPr>
        <w:t xml:space="preserve"> </w:t>
      </w:r>
      <w:proofErr w:type="spellStart"/>
      <w:r w:rsidRPr="00395E14">
        <w:rPr>
          <w:i/>
          <w:szCs w:val="20"/>
          <w:lang w:val="en-IE"/>
        </w:rPr>
        <w:t>Gesetzbuch</w:t>
      </w:r>
      <w:proofErr w:type="spellEnd"/>
      <w:r w:rsidRPr="00395E14">
        <w:rPr>
          <w:i/>
          <w:szCs w:val="20"/>
          <w:lang w:val="en-IE"/>
        </w:rPr>
        <w:t xml:space="preserve"> – BGB</w:t>
      </w:r>
      <w:r w:rsidRPr="00395E14">
        <w:rPr>
          <w:szCs w:val="20"/>
          <w:lang w:val="en-IE"/>
        </w:rPr>
        <w:t>), in the version promulgated on 2 January 2002, I Federal Law Gazette [</w:t>
      </w:r>
      <w:proofErr w:type="spellStart"/>
      <w:r w:rsidRPr="00395E14">
        <w:rPr>
          <w:i/>
          <w:szCs w:val="20"/>
          <w:lang w:val="en-IE"/>
        </w:rPr>
        <w:t>Bundesgesetzblatt</w:t>
      </w:r>
      <w:proofErr w:type="spellEnd"/>
      <w:r w:rsidRPr="00395E14">
        <w:rPr>
          <w:szCs w:val="20"/>
          <w:lang w:val="en-IE"/>
        </w:rPr>
        <w:t xml:space="preserve">], 42, 2909; 2003 I, 738, last amended by Art 4 para 5 of the Act of 1 October (2013), I Federal Law Gazette, 3719. </w:t>
      </w:r>
    </w:p>
  </w:footnote>
  <w:footnote w:id="156">
    <w:p w14:paraId="7932A60D" w14:textId="77777777" w:rsidR="00C859A0" w:rsidRPr="00395E14"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w:t>
      </w:r>
      <w:proofErr w:type="spellStart"/>
      <w:r w:rsidRPr="00395E14">
        <w:rPr>
          <w:rStyle w:val="Emphasis"/>
          <w:szCs w:val="20"/>
        </w:rPr>
        <w:t>Winterstein</w:t>
      </w:r>
      <w:proofErr w:type="spellEnd"/>
      <w:r w:rsidRPr="00395E14">
        <w:rPr>
          <w:rStyle w:val="Emphasis"/>
          <w:szCs w:val="20"/>
        </w:rPr>
        <w:t xml:space="preserve"> v France</w:t>
      </w:r>
      <w:r w:rsidRPr="00395E14">
        <w:rPr>
          <w:szCs w:val="20"/>
        </w:rPr>
        <w:t xml:space="preserve"> App No 27013/07 (ECHR, 17 October 2013).</w:t>
      </w:r>
    </w:p>
  </w:footnote>
  <w:footnote w:id="157">
    <w:p w14:paraId="27192760" w14:textId="77777777" w:rsidR="00C859A0" w:rsidRPr="00395E14" w:rsidRDefault="00C859A0" w:rsidP="00FB7DCE">
      <w:pPr>
        <w:pStyle w:val="FootnoteText"/>
        <w:rPr>
          <w:szCs w:val="20"/>
        </w:rPr>
      </w:pPr>
      <w:r w:rsidRPr="00395E14">
        <w:rPr>
          <w:rStyle w:val="FootnoteReference"/>
          <w:szCs w:val="20"/>
        </w:rPr>
        <w:footnoteRef/>
      </w:r>
      <w:r w:rsidRPr="00395E14">
        <w:rPr>
          <w:szCs w:val="20"/>
        </w:rPr>
        <w:t xml:space="preserve"> </w:t>
      </w:r>
      <w:r w:rsidRPr="00777703">
        <w:rPr>
          <w:bCs/>
          <w:szCs w:val="20"/>
          <w:shd w:val="clear" w:color="auto" w:fill="FFFFFF"/>
        </w:rPr>
        <w:t xml:space="preserve">Plataforma de </w:t>
      </w:r>
      <w:proofErr w:type="spellStart"/>
      <w:r w:rsidRPr="00777703">
        <w:rPr>
          <w:bCs/>
          <w:szCs w:val="20"/>
          <w:shd w:val="clear" w:color="auto" w:fill="FFFFFF"/>
        </w:rPr>
        <w:t>Afectados</w:t>
      </w:r>
      <w:proofErr w:type="spellEnd"/>
      <w:r w:rsidRPr="00777703">
        <w:rPr>
          <w:bCs/>
          <w:szCs w:val="20"/>
          <w:shd w:val="clear" w:color="auto" w:fill="FFFFFF"/>
        </w:rPr>
        <w:t xml:space="preserve"> por la </w:t>
      </w:r>
      <w:proofErr w:type="spellStart"/>
      <w:r w:rsidRPr="00777703">
        <w:rPr>
          <w:bCs/>
          <w:szCs w:val="20"/>
          <w:shd w:val="clear" w:color="auto" w:fill="FFFFFF"/>
        </w:rPr>
        <w:t>Hipoteca</w:t>
      </w:r>
      <w:proofErr w:type="spellEnd"/>
      <w:r w:rsidRPr="00777703">
        <w:rPr>
          <w:bCs/>
          <w:szCs w:val="20"/>
          <w:shd w:val="clear" w:color="auto" w:fill="FFFFFF"/>
        </w:rPr>
        <w:t xml:space="preserve"> </w:t>
      </w:r>
      <w:r w:rsidRPr="00777703">
        <w:rPr>
          <w:szCs w:val="20"/>
          <w:shd w:val="clear" w:color="auto" w:fill="FFFFFF"/>
        </w:rPr>
        <w:t>(Platform for People Affected by Mortgages).</w:t>
      </w:r>
    </w:p>
  </w:footnote>
  <w:footnote w:id="158">
    <w:p w14:paraId="0B086206" w14:textId="77777777" w:rsidR="00C859A0" w:rsidRPr="00777703" w:rsidRDefault="00C859A0" w:rsidP="00FB7DCE">
      <w:pPr>
        <w:pStyle w:val="FootnoteText"/>
        <w:spacing w:before="0" w:after="0" w:line="240" w:lineRule="auto"/>
        <w:rPr>
          <w:szCs w:val="20"/>
        </w:rPr>
      </w:pPr>
      <w:r w:rsidRPr="00395E14">
        <w:rPr>
          <w:szCs w:val="20"/>
          <w:vertAlign w:val="superscript"/>
        </w:rPr>
        <w:footnoteRef/>
      </w:r>
      <w:r w:rsidRPr="00395E14">
        <w:rPr>
          <w:szCs w:val="20"/>
        </w:rPr>
        <w:t xml:space="preserve"> European Committee of Social Rights (ECSR), </w:t>
      </w:r>
      <w:bookmarkStart w:id="21" w:name="_Hlk508103458"/>
      <w:r w:rsidRPr="00395E14">
        <w:rPr>
          <w:rStyle w:val="Emphasis"/>
          <w:szCs w:val="20"/>
        </w:rPr>
        <w:t>European Federation of National Organisations Working with the Homeless</w:t>
      </w:r>
      <w:bookmarkEnd w:id="21"/>
      <w:r w:rsidRPr="00395E14">
        <w:rPr>
          <w:rStyle w:val="Emphasis"/>
          <w:szCs w:val="20"/>
        </w:rPr>
        <w:t xml:space="preserve"> (FEANTSA) v Slovenia</w:t>
      </w:r>
      <w:r w:rsidRPr="00777703">
        <w:rPr>
          <w:szCs w:val="20"/>
        </w:rPr>
        <w:t xml:space="preserve"> CC53/2008, </w:t>
      </w:r>
      <w:r w:rsidRPr="00777703">
        <w:rPr>
          <w:rFonts w:eastAsia="Gill Sans"/>
          <w:szCs w:val="20"/>
        </w:rPr>
        <w:t xml:space="preserve">Complaint No 53/2007, </w:t>
      </w:r>
      <w:r w:rsidRPr="00777703">
        <w:rPr>
          <w:szCs w:val="20"/>
        </w:rPr>
        <w:t>8 September 2008.</w:t>
      </w:r>
    </w:p>
  </w:footnote>
  <w:footnote w:id="159">
    <w:p w14:paraId="5BA532FB"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395E14">
        <w:rPr>
          <w:szCs w:val="20"/>
        </w:rPr>
        <w:t xml:space="preserve"> Between March 2015 and December 2016, 11 338 families obtained a twelve-month suspension &lt;</w:t>
      </w:r>
      <w:hyperlink r:id="rId14" w:history="1">
        <w:r w:rsidRPr="00777703">
          <w:rPr>
            <w:rStyle w:val="Hyperlink"/>
            <w:color w:val="auto"/>
            <w:szCs w:val="20"/>
            <w:u w:val="none"/>
            <w:lang w:val="en-IE"/>
          </w:rPr>
          <w:t>https://www.abi.it/Pagine/news/Raggiunta-intesa-su-nuova-moratoria-famiglie.aspx</w:t>
        </w:r>
      </w:hyperlink>
      <w:r w:rsidRPr="00777703">
        <w:rPr>
          <w:szCs w:val="20"/>
          <w:lang w:val="en-IE"/>
        </w:rPr>
        <w:t xml:space="preserve">&gt;. </w:t>
      </w:r>
    </w:p>
  </w:footnote>
  <w:footnote w:id="160">
    <w:p w14:paraId="6BA1A6DD"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Between 2004 and 2014, the Dutch government and the four biggest cities implemented an action plan to address homelessness and reduce the number of evictions, which was effective in reducing evictions by 22 per cent. There are inter-agency agreements in the main cities to p</w:t>
      </w:r>
      <w:r w:rsidRPr="00777703">
        <w:rPr>
          <w:szCs w:val="20"/>
        </w:rPr>
        <w:t>revent evictions.</w:t>
      </w:r>
    </w:p>
  </w:footnote>
  <w:footnote w:id="161">
    <w:p w14:paraId="338B6AC4"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European Central Bank, </w:t>
      </w:r>
      <w:r w:rsidRPr="00395E14">
        <w:rPr>
          <w:i/>
          <w:szCs w:val="20"/>
        </w:rPr>
        <w:t>Stocktake of National Practices and Legal Frameworks Related to NPLs</w:t>
      </w:r>
      <w:r w:rsidRPr="00395E14">
        <w:rPr>
          <w:szCs w:val="20"/>
        </w:rPr>
        <w:t xml:space="preserve"> (Frankfurt, ECB 2016 and 2017).</w:t>
      </w:r>
    </w:p>
  </w:footnote>
  <w:footnote w:id="162">
    <w:p w14:paraId="068BAC0F"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Overall, in Ireland, court proceedings for mortgage possession rose from 300 in 2010 to 1300 in 2015, and then fell to 1000 in 2016.</w:t>
      </w:r>
    </w:p>
  </w:footnote>
  <w:footnote w:id="163">
    <w:p w14:paraId="37548089" w14:textId="77777777" w:rsidR="00C859A0" w:rsidRPr="00777703" w:rsidRDefault="00C859A0" w:rsidP="00FB7DCE">
      <w:pPr>
        <w:spacing w:before="0" w:after="0" w:line="240" w:lineRule="auto"/>
        <w:rPr>
          <w:sz w:val="20"/>
          <w:szCs w:val="20"/>
        </w:rPr>
      </w:pPr>
      <w:r w:rsidRPr="00395E14">
        <w:rPr>
          <w:rStyle w:val="FootnoteReference"/>
          <w:sz w:val="20"/>
          <w:szCs w:val="20"/>
        </w:rPr>
        <w:footnoteRef/>
      </w:r>
      <w:r w:rsidRPr="00395E14">
        <w:rPr>
          <w:sz w:val="20"/>
          <w:szCs w:val="20"/>
        </w:rPr>
        <w:t xml:space="preserve"> In Ireland, the government and the banks are strongly resisting debt write-downs in favour of a policy of mortgage forbearance. Forbearance involves restructuring a debt’s contractual terms to ease a debtor's repayment schedule. In practice, forbearance has been a strategy of </w:t>
      </w:r>
      <w:r w:rsidRPr="00777703">
        <w:rPr>
          <w:sz w:val="20"/>
          <w:szCs w:val="20"/>
        </w:rPr>
        <w:t>‘</w:t>
      </w:r>
      <w:r w:rsidRPr="00395E14">
        <w:rPr>
          <w:sz w:val="20"/>
          <w:szCs w:val="20"/>
        </w:rPr>
        <w:t>extend and pretend</w:t>
      </w:r>
      <w:r w:rsidRPr="00777703">
        <w:rPr>
          <w:sz w:val="20"/>
          <w:szCs w:val="20"/>
        </w:rPr>
        <w:t>’</w:t>
      </w:r>
      <w:r w:rsidRPr="00395E14">
        <w:rPr>
          <w:sz w:val="20"/>
          <w:szCs w:val="20"/>
        </w:rPr>
        <w:t xml:space="preserve"> whereby lenders have been slow to offer restructurings or have relied on temporary interventions that impose</w:t>
      </w:r>
      <w:r w:rsidRPr="00777703">
        <w:rPr>
          <w:sz w:val="20"/>
          <w:szCs w:val="20"/>
        </w:rPr>
        <w:t xml:space="preserve"> </w:t>
      </w:r>
      <w:r w:rsidRPr="00395E14">
        <w:rPr>
          <w:sz w:val="20"/>
          <w:szCs w:val="20"/>
        </w:rPr>
        <w:t xml:space="preserve">minimal costs upon them. Forbearance benefited lenders by negating the pressure to enforce possession of devalued property, while ensuring borrowers remain solely responsible for outstanding debts. See R Waldron and D Redmond, ‘(For)Bearing the costs of reckless lending: examining the response to the Irish mortgage crisis’ (2016) 16 (3) </w:t>
      </w:r>
      <w:r w:rsidRPr="00395E14">
        <w:rPr>
          <w:i/>
          <w:sz w:val="20"/>
          <w:szCs w:val="20"/>
        </w:rPr>
        <w:t>International Journal of Housing Policy</w:t>
      </w:r>
      <w:r w:rsidRPr="00395E14" w:rsidDel="002B666F">
        <w:rPr>
          <w:sz w:val="20"/>
          <w:szCs w:val="20"/>
        </w:rPr>
        <w:t xml:space="preserve"> </w:t>
      </w:r>
      <w:r w:rsidRPr="00395E14">
        <w:rPr>
          <w:sz w:val="20"/>
          <w:szCs w:val="20"/>
        </w:rPr>
        <w:t>267–292.</w:t>
      </w:r>
    </w:p>
  </w:footnote>
  <w:footnote w:id="164">
    <w:p w14:paraId="3FD3CD61"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szCs w:val="20"/>
        </w:rPr>
        <w:t xml:space="preserve"> Department of Finance/Central Bank (2016) 33. In Ireland, data is available on possession orders through the Courts Service of Ireland and the Central Bank of Ireland, and from the Residential Tenancies Board in relation to the private rented sector. However, there is no exact data on the numbers of evictions from owner-occupied dwe</w:t>
      </w:r>
      <w:r w:rsidRPr="00777703">
        <w:rPr>
          <w:szCs w:val="20"/>
        </w:rPr>
        <w:t>llings as a result of mortgage enforcement, although observations suggest that the number is very low, and the data from the Courts Service does not accord with data prepared by the Central Bank of Ireland.</w:t>
      </w:r>
    </w:p>
  </w:footnote>
  <w:footnote w:id="165">
    <w:p w14:paraId="3B7AD243" w14:textId="77777777" w:rsidR="00C859A0" w:rsidRPr="00395E14"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This data includes evictions from squats and slums but may be an underestimate in those situations.</w:t>
      </w:r>
    </w:p>
  </w:footnote>
  <w:footnote w:id="166">
    <w:p w14:paraId="71E12DE0"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Cases resolved may date from earlier years.</w:t>
      </w:r>
    </w:p>
  </w:footnote>
  <w:footnote w:id="167">
    <w:p w14:paraId="66A9ECE6"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Sarah </w:t>
      </w:r>
      <w:proofErr w:type="spellStart"/>
      <w:proofErr w:type="gramStart"/>
      <w:r w:rsidRPr="00395E14">
        <w:rPr>
          <w:szCs w:val="20"/>
        </w:rPr>
        <w:t>Nield</w:t>
      </w:r>
      <w:proofErr w:type="spellEnd"/>
      <w:r w:rsidRPr="00395E14">
        <w:rPr>
          <w:szCs w:val="20"/>
        </w:rPr>
        <w:t>,‘</w:t>
      </w:r>
      <w:proofErr w:type="gramEnd"/>
      <w:r w:rsidRPr="00395E14">
        <w:rPr>
          <w:szCs w:val="20"/>
        </w:rPr>
        <w:t xml:space="preserve">Secured </w:t>
      </w:r>
      <w:r w:rsidRPr="00777703">
        <w:rPr>
          <w:szCs w:val="20"/>
        </w:rPr>
        <w:t>c</w:t>
      </w:r>
      <w:r w:rsidRPr="00395E14">
        <w:rPr>
          <w:szCs w:val="20"/>
        </w:rPr>
        <w:t xml:space="preserve">onsumer </w:t>
      </w:r>
      <w:r w:rsidRPr="00777703">
        <w:rPr>
          <w:szCs w:val="20"/>
        </w:rPr>
        <w:t>c</w:t>
      </w:r>
      <w:r w:rsidRPr="00395E14">
        <w:rPr>
          <w:szCs w:val="20"/>
        </w:rPr>
        <w:t xml:space="preserve">redit in England’ in Anderson and </w:t>
      </w:r>
      <w:proofErr w:type="spellStart"/>
      <w:r w:rsidRPr="00777703">
        <w:rPr>
          <w:szCs w:val="20"/>
        </w:rPr>
        <w:t>Amayuelas</w:t>
      </w:r>
      <w:proofErr w:type="spellEnd"/>
      <w:r w:rsidRPr="00777703">
        <w:rPr>
          <w:szCs w:val="20"/>
        </w:rPr>
        <w:t xml:space="preserve"> (n 109</w:t>
      </w:r>
      <w:r w:rsidRPr="00395E14">
        <w:rPr>
          <w:szCs w:val="20"/>
        </w:rPr>
        <w:t xml:space="preserve">) Ch 5, </w:t>
      </w:r>
      <w:r w:rsidRPr="00777703">
        <w:rPr>
          <w:szCs w:val="20"/>
        </w:rPr>
        <w:t>199,</w:t>
      </w:r>
      <w:r w:rsidRPr="00395E14">
        <w:rPr>
          <w:szCs w:val="20"/>
        </w:rPr>
        <w:t xml:space="preserve"> points out that </w:t>
      </w:r>
      <w:r w:rsidRPr="00777703">
        <w:rPr>
          <w:szCs w:val="20"/>
        </w:rPr>
        <w:t>‘</w:t>
      </w:r>
      <w:r w:rsidRPr="00395E14">
        <w:rPr>
          <w:szCs w:val="20"/>
        </w:rPr>
        <w:t xml:space="preserve">Changes in macro-economic climate in the labour and property market thus present immediate risk for the mortgage borrower as do higher divorce rates and the instability of the modern family. However, evaluating the risks is and the prospect of default present a challenge to economic experts, </w:t>
      </w:r>
      <w:r w:rsidRPr="00777703">
        <w:rPr>
          <w:szCs w:val="20"/>
        </w:rPr>
        <w:t>let alone consumers. A borrower may understand their responsibilities and the risks they face but is unable to do much about them.’</w:t>
      </w:r>
    </w:p>
  </w:footnote>
  <w:footnote w:id="168">
    <w:p w14:paraId="1FF21D95"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 xml:space="preserve">Kenna et al (n 4). </w:t>
      </w:r>
    </w:p>
  </w:footnote>
  <w:footnote w:id="169">
    <w:p w14:paraId="2665916E"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Kenna</w:t>
      </w:r>
      <w:r w:rsidRPr="00777703">
        <w:rPr>
          <w:szCs w:val="20"/>
          <w:lang w:val="en-US"/>
        </w:rPr>
        <w:t xml:space="preserve"> </w:t>
      </w:r>
      <w:r w:rsidRPr="00395E14">
        <w:rPr>
          <w:szCs w:val="20"/>
          <w:lang w:val="en-US"/>
        </w:rPr>
        <w:t>et al (n 4) 1.</w:t>
      </w:r>
    </w:p>
  </w:footnote>
  <w:footnote w:id="170">
    <w:p w14:paraId="2188FA8F" w14:textId="77777777" w:rsidR="00C859A0" w:rsidRPr="00777703" w:rsidRDefault="00C859A0" w:rsidP="00FB7DCE">
      <w:pPr>
        <w:pStyle w:val="FootnoteText"/>
        <w:spacing w:before="0" w:after="0" w:line="240" w:lineRule="auto"/>
        <w:rPr>
          <w:szCs w:val="20"/>
        </w:rPr>
      </w:pPr>
      <w:r w:rsidRPr="00395E14">
        <w:rPr>
          <w:rStyle w:val="FootnoteReference"/>
          <w:szCs w:val="20"/>
        </w:rPr>
        <w:footnoteRef/>
      </w:r>
      <w:r w:rsidRPr="00395E14">
        <w:rPr>
          <w:szCs w:val="20"/>
        </w:rPr>
        <w:t xml:space="preserve"> European Central Bank, </w:t>
      </w:r>
      <w:r w:rsidRPr="00395E14">
        <w:rPr>
          <w:i/>
          <w:szCs w:val="20"/>
        </w:rPr>
        <w:t>Stocktake of National Practices and Legal Frameworks Related to NPLs</w:t>
      </w:r>
      <w:r w:rsidRPr="00777703">
        <w:rPr>
          <w:szCs w:val="20"/>
        </w:rPr>
        <w:t xml:space="preserve"> (Frankfurt, ECB 2016) 18. The </w:t>
      </w:r>
      <w:r>
        <w:rPr>
          <w:szCs w:val="20"/>
        </w:rPr>
        <w:t xml:space="preserve">term ‘non-performing loans’ (NPL) as used by the ECB and EBA includes </w:t>
      </w:r>
      <w:r w:rsidRPr="00777703">
        <w:rPr>
          <w:szCs w:val="20"/>
        </w:rPr>
        <w:t>home loans as part of the overall lending, and do not recogniz</w:t>
      </w:r>
      <w:r w:rsidRPr="00395E14">
        <w:rPr>
          <w:szCs w:val="20"/>
        </w:rPr>
        <w:t>e the fact th</w:t>
      </w:r>
      <w:r>
        <w:rPr>
          <w:szCs w:val="20"/>
        </w:rPr>
        <w:t>at</w:t>
      </w:r>
      <w:r w:rsidRPr="00395E14">
        <w:rPr>
          <w:szCs w:val="20"/>
        </w:rPr>
        <w:t xml:space="preserve"> actions in relation to realizing the security on a home loan, which involves eviction, raises human rights issue</w:t>
      </w:r>
      <w:r w:rsidRPr="00777703">
        <w:rPr>
          <w:szCs w:val="20"/>
        </w:rPr>
        <w:t xml:space="preserve">s. The word eviction is entirely absent from the reports, guidance and guidelines of the ECB and EBA in relation to </w:t>
      </w:r>
      <w:r>
        <w:rPr>
          <w:szCs w:val="20"/>
        </w:rPr>
        <w:t>non-performing loans</w:t>
      </w:r>
      <w:r w:rsidRPr="00777703">
        <w:rPr>
          <w:szCs w:val="20"/>
        </w:rPr>
        <w:t>.</w:t>
      </w:r>
    </w:p>
  </w:footnote>
  <w:footnote w:id="171">
    <w:p w14:paraId="1F01125F" w14:textId="77777777" w:rsidR="00C859A0" w:rsidRPr="00777703" w:rsidRDefault="00C859A0" w:rsidP="00FB7DCE">
      <w:pPr>
        <w:pStyle w:val="FootnoteText"/>
        <w:spacing w:before="0" w:after="0" w:line="240" w:lineRule="auto"/>
        <w:rPr>
          <w:szCs w:val="20"/>
          <w:lang w:val="en-IE"/>
        </w:rPr>
      </w:pPr>
      <w:r w:rsidRPr="00777703">
        <w:rPr>
          <w:rStyle w:val="FootnoteReference"/>
          <w:szCs w:val="20"/>
          <w:lang w:val="en-IE"/>
        </w:rPr>
        <w:footnoteRef/>
      </w:r>
      <w:r w:rsidRPr="00777703">
        <w:rPr>
          <w:szCs w:val="20"/>
          <w:lang w:val="en-IE"/>
        </w:rPr>
        <w:t xml:space="preserve"> </w:t>
      </w:r>
      <w:r w:rsidRPr="00777703">
        <w:rPr>
          <w:i/>
          <w:szCs w:val="20"/>
          <w:lang w:val="en-IE"/>
        </w:rPr>
        <w:t>McCann v United Kingdom</w:t>
      </w:r>
      <w:r w:rsidRPr="00777703">
        <w:rPr>
          <w:szCs w:val="20"/>
          <w:lang w:val="en-IE"/>
        </w:rPr>
        <w:t>, App No 19009/04, Fourth Section 13 May 2008, §50.</w:t>
      </w:r>
    </w:p>
  </w:footnote>
  <w:footnote w:id="172">
    <w:p w14:paraId="072A98DD" w14:textId="77777777" w:rsidR="00C859A0" w:rsidRPr="00777703" w:rsidRDefault="00C859A0" w:rsidP="00FB7DCE">
      <w:pPr>
        <w:pStyle w:val="FootnoteText"/>
        <w:spacing w:before="0" w:after="0" w:line="240" w:lineRule="auto"/>
        <w:rPr>
          <w:szCs w:val="20"/>
        </w:rPr>
      </w:pPr>
      <w:r w:rsidRPr="00395E14">
        <w:rPr>
          <w:rStyle w:val="FootnoteindChar"/>
          <w:szCs w:val="20"/>
        </w:rPr>
        <w:footnoteRef/>
      </w:r>
      <w:r w:rsidRPr="00395E14">
        <w:rPr>
          <w:rStyle w:val="FootnoteindChar"/>
          <w:szCs w:val="20"/>
        </w:rPr>
        <w:t xml:space="preserve"> </w:t>
      </w:r>
      <w:proofErr w:type="spellStart"/>
      <w:r w:rsidRPr="00395E14">
        <w:rPr>
          <w:rStyle w:val="Emphasis"/>
          <w:szCs w:val="20"/>
        </w:rPr>
        <w:t>Yordanova</w:t>
      </w:r>
      <w:proofErr w:type="spellEnd"/>
      <w:r w:rsidRPr="00395E14">
        <w:rPr>
          <w:rStyle w:val="Emphasis"/>
          <w:szCs w:val="20"/>
        </w:rPr>
        <w:t xml:space="preserve"> and Others v Bulgaria</w:t>
      </w:r>
      <w:r w:rsidRPr="00395E14">
        <w:rPr>
          <w:szCs w:val="20"/>
        </w:rPr>
        <w:t xml:space="preserve"> No 25446/06</w:t>
      </w:r>
      <w:r w:rsidRPr="00777703">
        <w:rPr>
          <w:szCs w:val="20"/>
        </w:rPr>
        <w:t xml:space="preserve">, 24 September 2012. </w:t>
      </w:r>
    </w:p>
  </w:footnote>
  <w:footnote w:id="173">
    <w:p w14:paraId="0836FB4E" w14:textId="77777777" w:rsidR="00C859A0" w:rsidRPr="00777703" w:rsidRDefault="00C859A0" w:rsidP="00FB7DCE">
      <w:pPr>
        <w:tabs>
          <w:tab w:val="left" w:pos="567"/>
        </w:tabs>
        <w:spacing w:before="0" w:after="0" w:line="240" w:lineRule="auto"/>
        <w:rPr>
          <w:sz w:val="20"/>
          <w:szCs w:val="20"/>
        </w:rPr>
      </w:pPr>
      <w:r w:rsidRPr="00395E14">
        <w:rPr>
          <w:rStyle w:val="FootnoteindChar"/>
          <w:szCs w:val="20"/>
        </w:rPr>
        <w:footnoteRef/>
      </w:r>
      <w:r w:rsidRPr="00395E14">
        <w:rPr>
          <w:sz w:val="20"/>
          <w:szCs w:val="20"/>
        </w:rPr>
        <w:t xml:space="preserve"> </w:t>
      </w:r>
      <w:r w:rsidRPr="00777703">
        <w:rPr>
          <w:sz w:val="20"/>
          <w:szCs w:val="20"/>
          <w:lang w:val="en-IE"/>
        </w:rPr>
        <w:t xml:space="preserve">Case </w:t>
      </w:r>
      <w:r w:rsidRPr="00777703">
        <w:rPr>
          <w:bCs/>
          <w:sz w:val="20"/>
          <w:szCs w:val="20"/>
          <w:lang w:val="en-IE"/>
        </w:rPr>
        <w:t xml:space="preserve">C-34/13 </w:t>
      </w:r>
      <w:proofErr w:type="spellStart"/>
      <w:r w:rsidRPr="00777703">
        <w:rPr>
          <w:bCs/>
          <w:i/>
          <w:sz w:val="20"/>
          <w:szCs w:val="20"/>
          <w:lang w:val="en-IE" w:eastAsia="en-US"/>
        </w:rPr>
        <w:t>Kušionová</w:t>
      </w:r>
      <w:proofErr w:type="spellEnd"/>
      <w:r w:rsidRPr="00777703">
        <w:rPr>
          <w:i/>
          <w:sz w:val="20"/>
          <w:szCs w:val="20"/>
          <w:lang w:val="en-IE" w:eastAsia="en-US"/>
        </w:rPr>
        <w:t xml:space="preserve"> v SMART Capital </w:t>
      </w:r>
      <w:proofErr w:type="spellStart"/>
      <w:r w:rsidRPr="00777703">
        <w:rPr>
          <w:i/>
          <w:sz w:val="20"/>
          <w:szCs w:val="20"/>
          <w:lang w:val="en-IE" w:eastAsia="en-US"/>
        </w:rPr>
        <w:t>a.s.</w:t>
      </w:r>
      <w:proofErr w:type="spellEnd"/>
      <w:r w:rsidRPr="00777703">
        <w:rPr>
          <w:sz w:val="20"/>
          <w:szCs w:val="20"/>
          <w:lang w:val="en-IE"/>
        </w:rPr>
        <w:t xml:space="preserve">; </w:t>
      </w:r>
      <w:r w:rsidRPr="00777703">
        <w:rPr>
          <w:sz w:val="20"/>
          <w:szCs w:val="20"/>
        </w:rPr>
        <w:t xml:space="preserve">H-W </w:t>
      </w:r>
      <w:proofErr w:type="spellStart"/>
      <w:r w:rsidRPr="00777703">
        <w:rPr>
          <w:sz w:val="20"/>
          <w:szCs w:val="20"/>
        </w:rPr>
        <w:t>Micklitz</w:t>
      </w:r>
      <w:proofErr w:type="spellEnd"/>
      <w:r w:rsidRPr="00777703">
        <w:rPr>
          <w:sz w:val="20"/>
          <w:szCs w:val="20"/>
        </w:rPr>
        <w:t xml:space="preserve"> and N Reich, ‘The court and the sleeping beauty: the revival of the Unfair Contract Terms Directive (UCTD)’ (2015) 51 </w:t>
      </w:r>
      <w:r w:rsidRPr="00777703">
        <w:rPr>
          <w:i/>
          <w:sz w:val="20"/>
          <w:szCs w:val="20"/>
        </w:rPr>
        <w:t xml:space="preserve">Common Market Law Review </w:t>
      </w:r>
      <w:r w:rsidRPr="00777703">
        <w:rPr>
          <w:sz w:val="20"/>
          <w:szCs w:val="20"/>
        </w:rPr>
        <w:t>771–808.</w:t>
      </w:r>
    </w:p>
  </w:footnote>
  <w:footnote w:id="174">
    <w:p w14:paraId="40538879" w14:textId="77777777" w:rsidR="00C859A0" w:rsidRPr="00777703"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E </w:t>
      </w:r>
      <w:proofErr w:type="spellStart"/>
      <w:r w:rsidRPr="00395E14">
        <w:rPr>
          <w:szCs w:val="20"/>
        </w:rPr>
        <w:t>Bargelli</w:t>
      </w:r>
      <w:proofErr w:type="spellEnd"/>
      <w:r w:rsidRPr="00395E14">
        <w:rPr>
          <w:szCs w:val="20"/>
        </w:rPr>
        <w:t xml:space="preserve">, ‘Exploring </w:t>
      </w:r>
      <w:r w:rsidRPr="00777703">
        <w:rPr>
          <w:szCs w:val="20"/>
        </w:rPr>
        <w:t>i</w:t>
      </w:r>
      <w:r w:rsidRPr="00395E14">
        <w:rPr>
          <w:szCs w:val="20"/>
        </w:rPr>
        <w:t xml:space="preserve">nterfaces </w:t>
      </w:r>
      <w:r w:rsidRPr="00777703">
        <w:rPr>
          <w:szCs w:val="20"/>
        </w:rPr>
        <w:t>b</w:t>
      </w:r>
      <w:r w:rsidRPr="00395E14">
        <w:rPr>
          <w:szCs w:val="20"/>
        </w:rPr>
        <w:t xml:space="preserve">etween </w:t>
      </w:r>
      <w:r w:rsidRPr="00777703">
        <w:rPr>
          <w:szCs w:val="20"/>
        </w:rPr>
        <w:t>s</w:t>
      </w:r>
      <w:r w:rsidRPr="00395E14">
        <w:rPr>
          <w:szCs w:val="20"/>
        </w:rPr>
        <w:t xml:space="preserve">ocial </w:t>
      </w:r>
      <w:r w:rsidRPr="00777703">
        <w:rPr>
          <w:szCs w:val="20"/>
        </w:rPr>
        <w:t>l</w:t>
      </w:r>
      <w:r w:rsidRPr="00395E14">
        <w:rPr>
          <w:szCs w:val="20"/>
        </w:rPr>
        <w:t>ong-</w:t>
      </w:r>
      <w:r w:rsidRPr="00777703">
        <w:rPr>
          <w:szCs w:val="20"/>
        </w:rPr>
        <w:t>t</w:t>
      </w:r>
      <w:r w:rsidRPr="00395E14">
        <w:rPr>
          <w:szCs w:val="20"/>
        </w:rPr>
        <w:t xml:space="preserve">erm </w:t>
      </w:r>
      <w:r w:rsidRPr="00777703">
        <w:rPr>
          <w:szCs w:val="20"/>
        </w:rPr>
        <w:t>c</w:t>
      </w:r>
      <w:r w:rsidRPr="00395E14">
        <w:rPr>
          <w:szCs w:val="20"/>
        </w:rPr>
        <w:t xml:space="preserve">ontracts and European </w:t>
      </w:r>
      <w:r w:rsidRPr="00777703">
        <w:rPr>
          <w:szCs w:val="20"/>
        </w:rPr>
        <w:t>l</w:t>
      </w:r>
      <w:r w:rsidRPr="00395E14">
        <w:rPr>
          <w:szCs w:val="20"/>
        </w:rPr>
        <w:t xml:space="preserve">aw </w:t>
      </w:r>
      <w:r w:rsidRPr="00777703">
        <w:rPr>
          <w:szCs w:val="20"/>
        </w:rPr>
        <w:t>t</w:t>
      </w:r>
      <w:r w:rsidRPr="00395E14">
        <w:rPr>
          <w:szCs w:val="20"/>
        </w:rPr>
        <w:t xml:space="preserve">hrough </w:t>
      </w:r>
      <w:r w:rsidRPr="00777703">
        <w:rPr>
          <w:szCs w:val="20"/>
        </w:rPr>
        <w:t>t</w:t>
      </w:r>
      <w:r w:rsidRPr="00395E14">
        <w:rPr>
          <w:szCs w:val="20"/>
        </w:rPr>
        <w:t xml:space="preserve">enancy </w:t>
      </w:r>
      <w:r w:rsidRPr="00777703">
        <w:rPr>
          <w:szCs w:val="20"/>
        </w:rPr>
        <w:t>l</w:t>
      </w:r>
      <w:r w:rsidRPr="00395E14">
        <w:rPr>
          <w:szCs w:val="20"/>
        </w:rPr>
        <w:t xml:space="preserve">aw’ in L </w:t>
      </w:r>
      <w:proofErr w:type="spellStart"/>
      <w:r w:rsidRPr="00395E14">
        <w:rPr>
          <w:szCs w:val="20"/>
        </w:rPr>
        <w:t>Nogler</w:t>
      </w:r>
      <w:proofErr w:type="spellEnd"/>
      <w:r w:rsidRPr="00395E14">
        <w:rPr>
          <w:szCs w:val="20"/>
        </w:rPr>
        <w:t xml:space="preserve"> and U </w:t>
      </w:r>
      <w:proofErr w:type="spellStart"/>
      <w:r w:rsidRPr="00395E14">
        <w:rPr>
          <w:szCs w:val="20"/>
        </w:rPr>
        <w:t>Reifner</w:t>
      </w:r>
      <w:proofErr w:type="spellEnd"/>
      <w:r w:rsidRPr="00395E14">
        <w:rPr>
          <w:szCs w:val="20"/>
        </w:rPr>
        <w:t xml:space="preserve"> (eds)</w:t>
      </w:r>
      <w:r w:rsidRPr="00777703">
        <w:rPr>
          <w:szCs w:val="20"/>
        </w:rPr>
        <w:t xml:space="preserve"> </w:t>
      </w:r>
      <w:proofErr w:type="gramStart"/>
      <w:r w:rsidRPr="00777703">
        <w:rPr>
          <w:i/>
          <w:szCs w:val="20"/>
        </w:rPr>
        <w:t>Life Time</w:t>
      </w:r>
      <w:proofErr w:type="gramEnd"/>
      <w:r w:rsidRPr="00777703">
        <w:rPr>
          <w:i/>
          <w:szCs w:val="20"/>
        </w:rPr>
        <w:t xml:space="preserve"> Contracts</w:t>
      </w:r>
      <w:r w:rsidRPr="00777703">
        <w:rPr>
          <w:szCs w:val="20"/>
        </w:rPr>
        <w:t xml:space="preserve"> (The Hague, Eleven 2014) 627 ff.</w:t>
      </w:r>
    </w:p>
  </w:footnote>
  <w:footnote w:id="175">
    <w:p w14:paraId="5FA75914"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See </w:t>
      </w:r>
      <w:proofErr w:type="spellStart"/>
      <w:r w:rsidRPr="00395E14">
        <w:rPr>
          <w:szCs w:val="20"/>
        </w:rPr>
        <w:t>Nogler</w:t>
      </w:r>
      <w:proofErr w:type="spellEnd"/>
      <w:r w:rsidRPr="00395E14">
        <w:rPr>
          <w:szCs w:val="20"/>
        </w:rPr>
        <w:t xml:space="preserve"> and </w:t>
      </w:r>
      <w:proofErr w:type="spellStart"/>
      <w:r w:rsidRPr="00395E14">
        <w:rPr>
          <w:szCs w:val="20"/>
        </w:rPr>
        <w:t>Reifner</w:t>
      </w:r>
      <w:proofErr w:type="spellEnd"/>
      <w:r w:rsidRPr="00395E14">
        <w:rPr>
          <w:szCs w:val="20"/>
        </w:rPr>
        <w:t xml:space="preserve"> (n 17</w:t>
      </w:r>
      <w:r w:rsidRPr="00777703">
        <w:rPr>
          <w:szCs w:val="20"/>
        </w:rPr>
        <w:t>5</w:t>
      </w:r>
      <w:r w:rsidRPr="00395E14">
        <w:rPr>
          <w:szCs w:val="20"/>
        </w:rPr>
        <w:t>).</w:t>
      </w:r>
    </w:p>
  </w:footnote>
  <w:footnote w:id="176">
    <w:p w14:paraId="32114D47"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w:t>
      </w:r>
      <w:r w:rsidRPr="00395E14">
        <w:rPr>
          <w:szCs w:val="20"/>
          <w:lang w:val="en-US"/>
        </w:rPr>
        <w:t>C</w:t>
      </w:r>
      <w:r w:rsidRPr="00777703">
        <w:rPr>
          <w:szCs w:val="20"/>
          <w:lang w:val="en-US"/>
        </w:rPr>
        <w:t xml:space="preserve">U Schmid, </w:t>
      </w:r>
      <w:r w:rsidRPr="00777703">
        <w:rPr>
          <w:i/>
          <w:szCs w:val="20"/>
          <w:lang w:val="en-US"/>
        </w:rPr>
        <w:t>Tenancy Law and Housing Policy in Europe</w:t>
      </w:r>
      <w:r w:rsidRPr="00777703">
        <w:rPr>
          <w:szCs w:val="20"/>
          <w:lang w:val="en-US"/>
        </w:rPr>
        <w:t xml:space="preserve"> (Cheltenham, Edward Elgar Publishing </w:t>
      </w:r>
      <w:r w:rsidRPr="00395E14">
        <w:rPr>
          <w:szCs w:val="20"/>
          <w:lang w:val="en-US"/>
        </w:rPr>
        <w:t>2017).</w:t>
      </w:r>
    </w:p>
  </w:footnote>
  <w:footnote w:id="177">
    <w:p w14:paraId="5CCE5DAE" w14:textId="77777777" w:rsidR="00C859A0" w:rsidRPr="00395E14" w:rsidRDefault="00C859A0" w:rsidP="00FB7DCE">
      <w:pPr>
        <w:pStyle w:val="FootnoteText"/>
        <w:spacing w:before="0" w:after="0" w:line="240" w:lineRule="auto"/>
        <w:rPr>
          <w:szCs w:val="20"/>
          <w:lang w:val="en-US"/>
        </w:rPr>
      </w:pPr>
      <w:r w:rsidRPr="00395E14">
        <w:rPr>
          <w:rStyle w:val="FootnoteReference"/>
          <w:szCs w:val="20"/>
        </w:rPr>
        <w:footnoteRef/>
      </w:r>
      <w:r w:rsidRPr="00395E14">
        <w:rPr>
          <w:szCs w:val="20"/>
        </w:rPr>
        <w:t xml:space="preserve"> &lt;</w:t>
      </w:r>
      <w:hyperlink r:id="rId15" w:history="1">
        <w:r w:rsidRPr="00777703">
          <w:rPr>
            <w:rStyle w:val="Hyperlink"/>
            <w:color w:val="auto"/>
            <w:szCs w:val="20"/>
            <w:u w:val="none"/>
          </w:rPr>
          <w:t>http://www.europarl.europa.eu/EPRS/EPRS-AaG-542142-Open-Method-of-Coordination-FINAL.pdf</w:t>
        </w:r>
      </w:hyperlink>
      <w:r w:rsidRPr="00777703">
        <w:rPr>
          <w:rStyle w:val="Hyperlink"/>
          <w:color w:val="auto"/>
          <w:szCs w:val="20"/>
          <w:u w:val="none"/>
        </w:rPr>
        <w:t>&gt;.</w:t>
      </w:r>
    </w:p>
  </w:footnote>
  <w:footnote w:id="178">
    <w:p w14:paraId="73ECC196" w14:textId="77777777" w:rsidR="00C859A0" w:rsidRPr="00777703" w:rsidRDefault="00C859A0" w:rsidP="00FB7DCE">
      <w:pPr>
        <w:pStyle w:val="Default"/>
        <w:rPr>
          <w:rFonts w:ascii="Times New Roman" w:hAnsi="Times New Roman" w:cs="Times New Roman"/>
          <w:color w:val="auto"/>
          <w:sz w:val="20"/>
          <w:szCs w:val="20"/>
        </w:rPr>
      </w:pPr>
      <w:r w:rsidRPr="00777703">
        <w:rPr>
          <w:rStyle w:val="FootnoteReference"/>
          <w:rFonts w:ascii="Times New Roman" w:hAnsi="Times New Roman" w:cs="Times New Roman"/>
          <w:color w:val="auto"/>
          <w:sz w:val="20"/>
          <w:szCs w:val="20"/>
        </w:rPr>
        <w:footnoteRef/>
      </w:r>
      <w:r w:rsidRPr="00777703">
        <w:rPr>
          <w:rFonts w:ascii="Times New Roman" w:hAnsi="Times New Roman" w:cs="Times New Roman"/>
          <w:color w:val="auto"/>
          <w:sz w:val="20"/>
          <w:szCs w:val="20"/>
        </w:rPr>
        <w:t xml:space="preserve"> UN Office of the High Commission for Europe, </w:t>
      </w:r>
      <w:r w:rsidRPr="00777703">
        <w:rPr>
          <w:rFonts w:ascii="Times New Roman" w:hAnsi="Times New Roman" w:cs="Times New Roman"/>
          <w:i/>
          <w:color w:val="auto"/>
          <w:sz w:val="20"/>
          <w:szCs w:val="20"/>
        </w:rPr>
        <w:t>European Added Value, The EU Multi-Annual Financial Framework Post-2020. A Tool to Close Human Rights Gaps in Europe?</w:t>
      </w:r>
      <w:r w:rsidRPr="00777703">
        <w:rPr>
          <w:rFonts w:ascii="Times New Roman" w:hAnsi="Times New Roman" w:cs="Times New Roman"/>
          <w:color w:val="auto"/>
          <w:sz w:val="20"/>
          <w:szCs w:val="20"/>
        </w:rPr>
        <w:t xml:space="preserve"> (Brussels, UN Regional Office for Europe 2018). The report suggests that EU funding in the next cycle should be directly linked to international human rights treaty provisions, as well as the authoritative guidance and recommendations from the UN human rights mechanisms, Council of Europe monitoring bodies, as well as EU bodies. The report also suggests that the EU should fund, directly and independently from Member State intervention, academic institutions, media, and other civil society organizations that are essential for the functioning of democracy, in particular those working on the protection and promotion of human rights. Such funding should be readily available for a range of entities including for grassroots organizations and human rights defenders. Such funding should cover, as appropriate, the variety of activities of civil society organizations, such as service provision, watchdog activities, advocacy, litigation, campaigning, human rights and civic education and awareness-raising. In addition, the EU should review current funding criteria to remove rules barring the use of EU funding for human rights litigation. </w:t>
      </w:r>
    </w:p>
    <w:p w14:paraId="5CCB8E7A" w14:textId="77777777" w:rsidR="00C859A0" w:rsidRPr="00395E14" w:rsidRDefault="00C859A0" w:rsidP="00FB7DCE">
      <w:pPr>
        <w:pStyle w:val="FootnoteText"/>
        <w:spacing w:before="0" w:after="0" w:line="240" w:lineRule="auto"/>
        <w:rPr>
          <w:szCs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1DE1" w14:textId="77777777" w:rsidR="00AF3ACC" w:rsidRDefault="00AF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2CAA4" w14:textId="77777777" w:rsidR="00AF3ACC" w:rsidRDefault="00AF3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3774" w14:textId="77777777" w:rsidR="00AF3ACC" w:rsidRDefault="00AF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C0A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2814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5AFD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23612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C454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F2B7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EB6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318E0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6286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AA2B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DAC2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722"/>
    <w:multiLevelType w:val="hybridMultilevel"/>
    <w:tmpl w:val="2796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C468B"/>
    <w:multiLevelType w:val="hybridMultilevel"/>
    <w:tmpl w:val="3034C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0A465A"/>
    <w:multiLevelType w:val="hybridMultilevel"/>
    <w:tmpl w:val="57CA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0609C"/>
    <w:multiLevelType w:val="hybridMultilevel"/>
    <w:tmpl w:val="93F82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AC5090"/>
    <w:multiLevelType w:val="multilevel"/>
    <w:tmpl w:val="5750FCC6"/>
    <w:lvl w:ilvl="0">
      <w:start w:val="1"/>
      <w:numFmt w:val="decimal"/>
      <w:lvlText w:val="%1"/>
      <w:lvlJc w:val="left"/>
      <w:pPr>
        <w:ind w:left="432" w:hanging="432"/>
      </w:pPr>
      <w:rPr>
        <w:lang w:val="en-U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EE57C3"/>
    <w:multiLevelType w:val="hybridMultilevel"/>
    <w:tmpl w:val="D0061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B107528"/>
    <w:multiLevelType w:val="hybridMultilevel"/>
    <w:tmpl w:val="EFA06C62"/>
    <w:lvl w:ilvl="0" w:tplc="462A4744">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872995"/>
    <w:multiLevelType w:val="hybridMultilevel"/>
    <w:tmpl w:val="C7EA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663F2"/>
    <w:multiLevelType w:val="multilevel"/>
    <w:tmpl w:val="F34A12EE"/>
    <w:styleLink w:val="List20"/>
    <w:lvl w:ilvl="0">
      <w:start w:val="1"/>
      <w:numFmt w:val="lowerRoman"/>
      <w:lvlText w:val="%1."/>
      <w:lvlJc w:val="left"/>
      <w:pPr>
        <w:tabs>
          <w:tab w:val="num" w:pos="1068"/>
        </w:tabs>
        <w:ind w:left="1068" w:hanging="474"/>
      </w:pPr>
      <w:rPr>
        <w:rFonts w:ascii="Arial" w:eastAsia="Arial" w:hAnsi="Arial" w:cs="Arial"/>
        <w:position w:val="0"/>
        <w:sz w:val="24"/>
        <w:szCs w:val="24"/>
        <w:lang w:val="en-US"/>
      </w:rPr>
    </w:lvl>
    <w:lvl w:ilvl="1">
      <w:start w:val="1"/>
      <w:numFmt w:val="lowerLetter"/>
      <w:lvlText w:val="%2."/>
      <w:lvlJc w:val="left"/>
      <w:pPr>
        <w:tabs>
          <w:tab w:val="num" w:pos="1788"/>
        </w:tabs>
        <w:ind w:left="1788" w:hanging="360"/>
      </w:pPr>
      <w:rPr>
        <w:rFonts w:ascii="Arial" w:eastAsia="Arial" w:hAnsi="Arial" w:cs="Arial"/>
        <w:position w:val="0"/>
        <w:sz w:val="24"/>
        <w:szCs w:val="24"/>
        <w:lang w:val="en-US"/>
      </w:rPr>
    </w:lvl>
    <w:lvl w:ilvl="2">
      <w:start w:val="1"/>
      <w:numFmt w:val="lowerRoman"/>
      <w:lvlText w:val="%3."/>
      <w:lvlJc w:val="left"/>
      <w:pPr>
        <w:tabs>
          <w:tab w:val="num" w:pos="2508"/>
        </w:tabs>
        <w:ind w:left="2508" w:hanging="296"/>
      </w:pPr>
      <w:rPr>
        <w:rFonts w:ascii="Arial" w:eastAsia="Arial" w:hAnsi="Arial" w:cs="Arial"/>
        <w:position w:val="0"/>
        <w:sz w:val="24"/>
        <w:szCs w:val="24"/>
        <w:lang w:val="en-US"/>
      </w:rPr>
    </w:lvl>
    <w:lvl w:ilvl="3">
      <w:start w:val="1"/>
      <w:numFmt w:val="decimal"/>
      <w:lvlText w:val="%4."/>
      <w:lvlJc w:val="left"/>
      <w:pPr>
        <w:tabs>
          <w:tab w:val="num" w:pos="3228"/>
        </w:tabs>
        <w:ind w:left="3228" w:hanging="360"/>
      </w:pPr>
      <w:rPr>
        <w:rFonts w:ascii="Arial" w:eastAsia="Arial" w:hAnsi="Arial" w:cs="Arial"/>
        <w:position w:val="0"/>
        <w:sz w:val="24"/>
        <w:szCs w:val="24"/>
        <w:lang w:val="en-US"/>
      </w:rPr>
    </w:lvl>
    <w:lvl w:ilvl="4">
      <w:start w:val="1"/>
      <w:numFmt w:val="lowerLetter"/>
      <w:lvlText w:val="%5."/>
      <w:lvlJc w:val="left"/>
      <w:pPr>
        <w:tabs>
          <w:tab w:val="num" w:pos="3948"/>
        </w:tabs>
        <w:ind w:left="3948" w:hanging="360"/>
      </w:pPr>
      <w:rPr>
        <w:rFonts w:ascii="Arial" w:eastAsia="Arial" w:hAnsi="Arial" w:cs="Arial"/>
        <w:position w:val="0"/>
        <w:sz w:val="24"/>
        <w:szCs w:val="24"/>
        <w:lang w:val="en-US"/>
      </w:rPr>
    </w:lvl>
    <w:lvl w:ilvl="5">
      <w:start w:val="1"/>
      <w:numFmt w:val="lowerRoman"/>
      <w:lvlText w:val="%6."/>
      <w:lvlJc w:val="left"/>
      <w:pPr>
        <w:tabs>
          <w:tab w:val="num" w:pos="4668"/>
        </w:tabs>
        <w:ind w:left="4668" w:hanging="296"/>
      </w:pPr>
      <w:rPr>
        <w:rFonts w:ascii="Arial" w:eastAsia="Arial" w:hAnsi="Arial" w:cs="Arial"/>
        <w:position w:val="0"/>
        <w:sz w:val="24"/>
        <w:szCs w:val="24"/>
        <w:lang w:val="en-US"/>
      </w:rPr>
    </w:lvl>
    <w:lvl w:ilvl="6">
      <w:start w:val="1"/>
      <w:numFmt w:val="decimal"/>
      <w:lvlText w:val="%7."/>
      <w:lvlJc w:val="left"/>
      <w:pPr>
        <w:tabs>
          <w:tab w:val="num" w:pos="5388"/>
        </w:tabs>
        <w:ind w:left="5388" w:hanging="360"/>
      </w:pPr>
      <w:rPr>
        <w:rFonts w:ascii="Arial" w:eastAsia="Arial" w:hAnsi="Arial" w:cs="Arial"/>
        <w:position w:val="0"/>
        <w:sz w:val="24"/>
        <w:szCs w:val="24"/>
        <w:lang w:val="en-US"/>
      </w:rPr>
    </w:lvl>
    <w:lvl w:ilvl="7">
      <w:start w:val="1"/>
      <w:numFmt w:val="lowerLetter"/>
      <w:lvlText w:val="%8."/>
      <w:lvlJc w:val="left"/>
      <w:pPr>
        <w:tabs>
          <w:tab w:val="num" w:pos="6108"/>
        </w:tabs>
        <w:ind w:left="6108" w:hanging="360"/>
      </w:pPr>
      <w:rPr>
        <w:rFonts w:ascii="Arial" w:eastAsia="Arial" w:hAnsi="Arial" w:cs="Arial"/>
        <w:position w:val="0"/>
        <w:sz w:val="24"/>
        <w:szCs w:val="24"/>
        <w:lang w:val="en-US"/>
      </w:rPr>
    </w:lvl>
    <w:lvl w:ilvl="8">
      <w:start w:val="1"/>
      <w:numFmt w:val="lowerRoman"/>
      <w:lvlText w:val="%9."/>
      <w:lvlJc w:val="left"/>
      <w:pPr>
        <w:tabs>
          <w:tab w:val="num" w:pos="6828"/>
        </w:tabs>
        <w:ind w:left="6828" w:hanging="296"/>
      </w:pPr>
      <w:rPr>
        <w:rFonts w:ascii="Arial" w:eastAsia="Arial" w:hAnsi="Arial" w:cs="Arial"/>
        <w:position w:val="0"/>
        <w:sz w:val="24"/>
        <w:szCs w:val="24"/>
        <w:lang w:val="en-US"/>
      </w:rPr>
    </w:lvl>
  </w:abstractNum>
  <w:abstractNum w:abstractNumId="20" w15:restartNumberingAfterBreak="0">
    <w:nsid w:val="3B4C10DA"/>
    <w:multiLevelType w:val="hybridMultilevel"/>
    <w:tmpl w:val="2558ECB6"/>
    <w:lvl w:ilvl="0" w:tplc="BB3EABB8">
      <w:start w:val="1"/>
      <w:numFmt w:val="decimal"/>
      <w:pStyle w:val="MediumGrid21"/>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E041D9"/>
    <w:multiLevelType w:val="multilevel"/>
    <w:tmpl w:val="4AD8C5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49A90A8E"/>
    <w:multiLevelType w:val="multilevel"/>
    <w:tmpl w:val="1DDC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FA7141"/>
    <w:multiLevelType w:val="hybridMultilevel"/>
    <w:tmpl w:val="CEECD824"/>
    <w:lvl w:ilvl="0" w:tplc="7D22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3FB"/>
    <w:multiLevelType w:val="hybridMultilevel"/>
    <w:tmpl w:val="07A461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C73EB"/>
    <w:multiLevelType w:val="hybridMultilevel"/>
    <w:tmpl w:val="A6E0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12BE4"/>
    <w:multiLevelType w:val="hybridMultilevel"/>
    <w:tmpl w:val="1778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5"/>
  </w:num>
  <w:num w:numId="4">
    <w:abstractNumId w:val="14"/>
  </w:num>
  <w:num w:numId="5">
    <w:abstractNumId w:val="13"/>
  </w:num>
  <w:num w:numId="6">
    <w:abstractNumId w:val="19"/>
  </w:num>
  <w:num w:numId="7">
    <w:abstractNumId w:val="2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0"/>
  </w:num>
  <w:num w:numId="21">
    <w:abstractNumId w:val="25"/>
  </w:num>
  <w:num w:numId="22">
    <w:abstractNumId w:val="26"/>
  </w:num>
  <w:num w:numId="23">
    <w:abstractNumId w:val="0"/>
  </w:num>
  <w:num w:numId="24">
    <w:abstractNumId w:val="24"/>
  </w:num>
  <w:num w:numId="25">
    <w:abstractNumId w:val="21"/>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fr-BE" w:vendorID="64" w:dllVersion="0" w:nlCheck="1" w:checkStyle="0"/>
  <w:activeWritingStyle w:appName="MSWord" w:lang="fr-BE"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46"/>
    <w:rsid w:val="0000076C"/>
    <w:rsid w:val="00001161"/>
    <w:rsid w:val="0000263C"/>
    <w:rsid w:val="00003500"/>
    <w:rsid w:val="00007A78"/>
    <w:rsid w:val="000101D2"/>
    <w:rsid w:val="00011433"/>
    <w:rsid w:val="00011E2D"/>
    <w:rsid w:val="00012BFA"/>
    <w:rsid w:val="0001483D"/>
    <w:rsid w:val="00017C5B"/>
    <w:rsid w:val="00020316"/>
    <w:rsid w:val="00021192"/>
    <w:rsid w:val="000216D3"/>
    <w:rsid w:val="00022302"/>
    <w:rsid w:val="00022899"/>
    <w:rsid w:val="00025F5E"/>
    <w:rsid w:val="00032E3C"/>
    <w:rsid w:val="00033FC0"/>
    <w:rsid w:val="00035758"/>
    <w:rsid w:val="00036C7B"/>
    <w:rsid w:val="00036E11"/>
    <w:rsid w:val="00037786"/>
    <w:rsid w:val="00037E41"/>
    <w:rsid w:val="00040AF3"/>
    <w:rsid w:val="00041218"/>
    <w:rsid w:val="00043C60"/>
    <w:rsid w:val="00047EEA"/>
    <w:rsid w:val="0005045C"/>
    <w:rsid w:val="00050FEE"/>
    <w:rsid w:val="000512D2"/>
    <w:rsid w:val="00051C02"/>
    <w:rsid w:val="000527A9"/>
    <w:rsid w:val="0005288A"/>
    <w:rsid w:val="00055217"/>
    <w:rsid w:val="00055BB3"/>
    <w:rsid w:val="00055C90"/>
    <w:rsid w:val="0005757F"/>
    <w:rsid w:val="00057700"/>
    <w:rsid w:val="0006300A"/>
    <w:rsid w:val="00066E90"/>
    <w:rsid w:val="000733FD"/>
    <w:rsid w:val="00073E2B"/>
    <w:rsid w:val="00074BDB"/>
    <w:rsid w:val="00080DFC"/>
    <w:rsid w:val="00081273"/>
    <w:rsid w:val="00082985"/>
    <w:rsid w:val="00084CD3"/>
    <w:rsid w:val="00087902"/>
    <w:rsid w:val="000946BE"/>
    <w:rsid w:val="00094807"/>
    <w:rsid w:val="00096C6B"/>
    <w:rsid w:val="000A04E5"/>
    <w:rsid w:val="000A1DB5"/>
    <w:rsid w:val="000A2E11"/>
    <w:rsid w:val="000A50BD"/>
    <w:rsid w:val="000A523A"/>
    <w:rsid w:val="000A54C1"/>
    <w:rsid w:val="000A6A7A"/>
    <w:rsid w:val="000A6B03"/>
    <w:rsid w:val="000B0296"/>
    <w:rsid w:val="000B2685"/>
    <w:rsid w:val="000B2B29"/>
    <w:rsid w:val="000B3939"/>
    <w:rsid w:val="000B4EE2"/>
    <w:rsid w:val="000B5F0D"/>
    <w:rsid w:val="000C073E"/>
    <w:rsid w:val="000C1568"/>
    <w:rsid w:val="000C2F95"/>
    <w:rsid w:val="000C4176"/>
    <w:rsid w:val="000C4424"/>
    <w:rsid w:val="000C60CA"/>
    <w:rsid w:val="000C6FE2"/>
    <w:rsid w:val="000D1136"/>
    <w:rsid w:val="000D3DB0"/>
    <w:rsid w:val="000D3F1C"/>
    <w:rsid w:val="000D6BD0"/>
    <w:rsid w:val="000D7B32"/>
    <w:rsid w:val="000D7BEA"/>
    <w:rsid w:val="000D7C18"/>
    <w:rsid w:val="000E046D"/>
    <w:rsid w:val="000E04A2"/>
    <w:rsid w:val="000E5757"/>
    <w:rsid w:val="000E5A07"/>
    <w:rsid w:val="000E5D84"/>
    <w:rsid w:val="000E6692"/>
    <w:rsid w:val="000F4E22"/>
    <w:rsid w:val="000F5452"/>
    <w:rsid w:val="001006C8"/>
    <w:rsid w:val="00101ABB"/>
    <w:rsid w:val="001020BF"/>
    <w:rsid w:val="00104FB5"/>
    <w:rsid w:val="00110856"/>
    <w:rsid w:val="0011110F"/>
    <w:rsid w:val="00111803"/>
    <w:rsid w:val="00112951"/>
    <w:rsid w:val="00112C2C"/>
    <w:rsid w:val="00113270"/>
    <w:rsid w:val="00113463"/>
    <w:rsid w:val="0011750F"/>
    <w:rsid w:val="001307FA"/>
    <w:rsid w:val="001318C5"/>
    <w:rsid w:val="00132C54"/>
    <w:rsid w:val="0013395A"/>
    <w:rsid w:val="00134EBB"/>
    <w:rsid w:val="0014093A"/>
    <w:rsid w:val="001428F5"/>
    <w:rsid w:val="00145F46"/>
    <w:rsid w:val="00146CB8"/>
    <w:rsid w:val="001539D1"/>
    <w:rsid w:val="0015454D"/>
    <w:rsid w:val="00155EB0"/>
    <w:rsid w:val="00155FA6"/>
    <w:rsid w:val="00161F17"/>
    <w:rsid w:val="00163AD1"/>
    <w:rsid w:val="00165FAE"/>
    <w:rsid w:val="00166022"/>
    <w:rsid w:val="00167CA8"/>
    <w:rsid w:val="00170371"/>
    <w:rsid w:val="0017688D"/>
    <w:rsid w:val="00180045"/>
    <w:rsid w:val="00181670"/>
    <w:rsid w:val="00186028"/>
    <w:rsid w:val="001929B8"/>
    <w:rsid w:val="001929E2"/>
    <w:rsid w:val="001942DB"/>
    <w:rsid w:val="00195307"/>
    <w:rsid w:val="00196196"/>
    <w:rsid w:val="001962AF"/>
    <w:rsid w:val="001A4592"/>
    <w:rsid w:val="001A478E"/>
    <w:rsid w:val="001A4928"/>
    <w:rsid w:val="001A4CA1"/>
    <w:rsid w:val="001A62CC"/>
    <w:rsid w:val="001A731A"/>
    <w:rsid w:val="001A7731"/>
    <w:rsid w:val="001A7A41"/>
    <w:rsid w:val="001B28AB"/>
    <w:rsid w:val="001B4A4E"/>
    <w:rsid w:val="001B52CF"/>
    <w:rsid w:val="001B798E"/>
    <w:rsid w:val="001B7B33"/>
    <w:rsid w:val="001C0934"/>
    <w:rsid w:val="001C47BA"/>
    <w:rsid w:val="001C5401"/>
    <w:rsid w:val="001D04FD"/>
    <w:rsid w:val="001D088F"/>
    <w:rsid w:val="001D0D17"/>
    <w:rsid w:val="001D4084"/>
    <w:rsid w:val="001D4668"/>
    <w:rsid w:val="001D4C65"/>
    <w:rsid w:val="001D6E31"/>
    <w:rsid w:val="001E1243"/>
    <w:rsid w:val="001E1533"/>
    <w:rsid w:val="001E5006"/>
    <w:rsid w:val="001E5A68"/>
    <w:rsid w:val="001E644C"/>
    <w:rsid w:val="001E6519"/>
    <w:rsid w:val="001E6F35"/>
    <w:rsid w:val="001E716E"/>
    <w:rsid w:val="001E783A"/>
    <w:rsid w:val="001F1088"/>
    <w:rsid w:val="001F4AA9"/>
    <w:rsid w:val="001F575F"/>
    <w:rsid w:val="001F58E0"/>
    <w:rsid w:val="001F5DA4"/>
    <w:rsid w:val="002001E5"/>
    <w:rsid w:val="00200ABF"/>
    <w:rsid w:val="00201DFE"/>
    <w:rsid w:val="0020404A"/>
    <w:rsid w:val="00204BED"/>
    <w:rsid w:val="00205254"/>
    <w:rsid w:val="00206662"/>
    <w:rsid w:val="0020709C"/>
    <w:rsid w:val="00210072"/>
    <w:rsid w:val="00210745"/>
    <w:rsid w:val="00214077"/>
    <w:rsid w:val="002140E9"/>
    <w:rsid w:val="00216A6E"/>
    <w:rsid w:val="002177FC"/>
    <w:rsid w:val="002200C5"/>
    <w:rsid w:val="00220A56"/>
    <w:rsid w:val="002213C5"/>
    <w:rsid w:val="00221CDA"/>
    <w:rsid w:val="00222BA7"/>
    <w:rsid w:val="00222C58"/>
    <w:rsid w:val="00223A24"/>
    <w:rsid w:val="00225108"/>
    <w:rsid w:val="00225B58"/>
    <w:rsid w:val="002321E4"/>
    <w:rsid w:val="00234BD2"/>
    <w:rsid w:val="002363FE"/>
    <w:rsid w:val="00236CAD"/>
    <w:rsid w:val="00241D3F"/>
    <w:rsid w:val="0024229D"/>
    <w:rsid w:val="002432C4"/>
    <w:rsid w:val="00245E3E"/>
    <w:rsid w:val="00251133"/>
    <w:rsid w:val="00252488"/>
    <w:rsid w:val="00254497"/>
    <w:rsid w:val="00255A5C"/>
    <w:rsid w:val="00257E48"/>
    <w:rsid w:val="0026175C"/>
    <w:rsid w:val="00264821"/>
    <w:rsid w:val="0026502D"/>
    <w:rsid w:val="00265042"/>
    <w:rsid w:val="002676BC"/>
    <w:rsid w:val="00275186"/>
    <w:rsid w:val="00276F28"/>
    <w:rsid w:val="002770C6"/>
    <w:rsid w:val="00280026"/>
    <w:rsid w:val="002820CB"/>
    <w:rsid w:val="00285685"/>
    <w:rsid w:val="00286C1F"/>
    <w:rsid w:val="00290E59"/>
    <w:rsid w:val="00290F66"/>
    <w:rsid w:val="00293631"/>
    <w:rsid w:val="00295FE0"/>
    <w:rsid w:val="002973F6"/>
    <w:rsid w:val="002A0BFC"/>
    <w:rsid w:val="002A36A7"/>
    <w:rsid w:val="002A7B0A"/>
    <w:rsid w:val="002B15E9"/>
    <w:rsid w:val="002B219D"/>
    <w:rsid w:val="002B3867"/>
    <w:rsid w:val="002B666F"/>
    <w:rsid w:val="002C6BDF"/>
    <w:rsid w:val="002C6F32"/>
    <w:rsid w:val="002D2ADA"/>
    <w:rsid w:val="002D51F9"/>
    <w:rsid w:val="002D65B5"/>
    <w:rsid w:val="002D764D"/>
    <w:rsid w:val="002E576D"/>
    <w:rsid w:val="002E57A2"/>
    <w:rsid w:val="002F08C8"/>
    <w:rsid w:val="002F1068"/>
    <w:rsid w:val="002F1C7D"/>
    <w:rsid w:val="002F2740"/>
    <w:rsid w:val="002F4149"/>
    <w:rsid w:val="002F4DC1"/>
    <w:rsid w:val="00302E74"/>
    <w:rsid w:val="0030482B"/>
    <w:rsid w:val="00305E00"/>
    <w:rsid w:val="00306404"/>
    <w:rsid w:val="00310F50"/>
    <w:rsid w:val="00313D41"/>
    <w:rsid w:val="0031470F"/>
    <w:rsid w:val="0031561C"/>
    <w:rsid w:val="0031791B"/>
    <w:rsid w:val="003179B8"/>
    <w:rsid w:val="00320E15"/>
    <w:rsid w:val="00324FFA"/>
    <w:rsid w:val="00331DBA"/>
    <w:rsid w:val="0033338D"/>
    <w:rsid w:val="003345EE"/>
    <w:rsid w:val="00344321"/>
    <w:rsid w:val="0034508C"/>
    <w:rsid w:val="00345375"/>
    <w:rsid w:val="00350555"/>
    <w:rsid w:val="003510AA"/>
    <w:rsid w:val="0036033C"/>
    <w:rsid w:val="0036201F"/>
    <w:rsid w:val="00362820"/>
    <w:rsid w:val="00363E64"/>
    <w:rsid w:val="00364223"/>
    <w:rsid w:val="0036481E"/>
    <w:rsid w:val="00370404"/>
    <w:rsid w:val="00371223"/>
    <w:rsid w:val="00374816"/>
    <w:rsid w:val="00377C19"/>
    <w:rsid w:val="00383674"/>
    <w:rsid w:val="00383C48"/>
    <w:rsid w:val="00390373"/>
    <w:rsid w:val="003947ED"/>
    <w:rsid w:val="00395E14"/>
    <w:rsid w:val="00396DAD"/>
    <w:rsid w:val="00396EB8"/>
    <w:rsid w:val="00397D72"/>
    <w:rsid w:val="003B7A58"/>
    <w:rsid w:val="003C2AEE"/>
    <w:rsid w:val="003C5205"/>
    <w:rsid w:val="003D052D"/>
    <w:rsid w:val="003D0848"/>
    <w:rsid w:val="003D14EA"/>
    <w:rsid w:val="003E5051"/>
    <w:rsid w:val="003E6D2D"/>
    <w:rsid w:val="003F1DA3"/>
    <w:rsid w:val="003F2139"/>
    <w:rsid w:val="003F264B"/>
    <w:rsid w:val="003F3F1A"/>
    <w:rsid w:val="003F4F6E"/>
    <w:rsid w:val="003F5D68"/>
    <w:rsid w:val="003F68B4"/>
    <w:rsid w:val="00403D9E"/>
    <w:rsid w:val="004045C2"/>
    <w:rsid w:val="0040562B"/>
    <w:rsid w:val="00405755"/>
    <w:rsid w:val="00405BA8"/>
    <w:rsid w:val="00410222"/>
    <w:rsid w:val="0041060E"/>
    <w:rsid w:val="00417527"/>
    <w:rsid w:val="004232A7"/>
    <w:rsid w:val="00424B82"/>
    <w:rsid w:val="004256BD"/>
    <w:rsid w:val="00425894"/>
    <w:rsid w:val="00425A74"/>
    <w:rsid w:val="00426FA2"/>
    <w:rsid w:val="00427367"/>
    <w:rsid w:val="00427F52"/>
    <w:rsid w:val="00430218"/>
    <w:rsid w:val="00430267"/>
    <w:rsid w:val="00431E00"/>
    <w:rsid w:val="004331ED"/>
    <w:rsid w:val="00433F44"/>
    <w:rsid w:val="00434888"/>
    <w:rsid w:val="004413B6"/>
    <w:rsid w:val="00442178"/>
    <w:rsid w:val="004427A3"/>
    <w:rsid w:val="00443362"/>
    <w:rsid w:val="004434C5"/>
    <w:rsid w:val="00444141"/>
    <w:rsid w:val="00447C61"/>
    <w:rsid w:val="00451EED"/>
    <w:rsid w:val="004541D8"/>
    <w:rsid w:val="0045454A"/>
    <w:rsid w:val="00456CFD"/>
    <w:rsid w:val="004573F2"/>
    <w:rsid w:val="00460766"/>
    <w:rsid w:val="004633B3"/>
    <w:rsid w:val="00467C45"/>
    <w:rsid w:val="00470FCA"/>
    <w:rsid w:val="00472722"/>
    <w:rsid w:val="00473EEF"/>
    <w:rsid w:val="0047618E"/>
    <w:rsid w:val="0048289A"/>
    <w:rsid w:val="00483CDD"/>
    <w:rsid w:val="00486CC2"/>
    <w:rsid w:val="0049000B"/>
    <w:rsid w:val="004901CB"/>
    <w:rsid w:val="00491551"/>
    <w:rsid w:val="00491FEE"/>
    <w:rsid w:val="00492019"/>
    <w:rsid w:val="00495E69"/>
    <w:rsid w:val="00495EF7"/>
    <w:rsid w:val="00496360"/>
    <w:rsid w:val="00496ACE"/>
    <w:rsid w:val="004977FC"/>
    <w:rsid w:val="004A1608"/>
    <w:rsid w:val="004A2684"/>
    <w:rsid w:val="004A36A0"/>
    <w:rsid w:val="004A63AE"/>
    <w:rsid w:val="004B021B"/>
    <w:rsid w:val="004B0360"/>
    <w:rsid w:val="004B078E"/>
    <w:rsid w:val="004B47AB"/>
    <w:rsid w:val="004B58A1"/>
    <w:rsid w:val="004B60E2"/>
    <w:rsid w:val="004B7147"/>
    <w:rsid w:val="004C25F9"/>
    <w:rsid w:val="004C518C"/>
    <w:rsid w:val="004D2AB3"/>
    <w:rsid w:val="004D2FC4"/>
    <w:rsid w:val="004D7264"/>
    <w:rsid w:val="004D738C"/>
    <w:rsid w:val="004E064D"/>
    <w:rsid w:val="004E1443"/>
    <w:rsid w:val="004E5959"/>
    <w:rsid w:val="004E6ECF"/>
    <w:rsid w:val="004E7A56"/>
    <w:rsid w:val="004E7B1B"/>
    <w:rsid w:val="004F0C47"/>
    <w:rsid w:val="004F10C8"/>
    <w:rsid w:val="004F23E5"/>
    <w:rsid w:val="004F2C75"/>
    <w:rsid w:val="004F4225"/>
    <w:rsid w:val="004F5CDD"/>
    <w:rsid w:val="004F5E45"/>
    <w:rsid w:val="004F6D47"/>
    <w:rsid w:val="005015DA"/>
    <w:rsid w:val="00502830"/>
    <w:rsid w:val="005043B0"/>
    <w:rsid w:val="00504D38"/>
    <w:rsid w:val="00505B77"/>
    <w:rsid w:val="00511486"/>
    <w:rsid w:val="00513401"/>
    <w:rsid w:val="00515655"/>
    <w:rsid w:val="00517D46"/>
    <w:rsid w:val="00522456"/>
    <w:rsid w:val="00523C11"/>
    <w:rsid w:val="00524765"/>
    <w:rsid w:val="00527BF1"/>
    <w:rsid w:val="005307CD"/>
    <w:rsid w:val="00530D85"/>
    <w:rsid w:val="005315DA"/>
    <w:rsid w:val="00545CDB"/>
    <w:rsid w:val="005511B4"/>
    <w:rsid w:val="0055195E"/>
    <w:rsid w:val="00552E8D"/>
    <w:rsid w:val="00553388"/>
    <w:rsid w:val="00556304"/>
    <w:rsid w:val="00560DE3"/>
    <w:rsid w:val="005635DF"/>
    <w:rsid w:val="00563A00"/>
    <w:rsid w:val="005653E8"/>
    <w:rsid w:val="005669BF"/>
    <w:rsid w:val="00571404"/>
    <w:rsid w:val="00571BED"/>
    <w:rsid w:val="00575B1A"/>
    <w:rsid w:val="00575F1F"/>
    <w:rsid w:val="00582D9D"/>
    <w:rsid w:val="0058403B"/>
    <w:rsid w:val="00584092"/>
    <w:rsid w:val="00586E3B"/>
    <w:rsid w:val="00591FED"/>
    <w:rsid w:val="00592693"/>
    <w:rsid w:val="0059379C"/>
    <w:rsid w:val="0059449D"/>
    <w:rsid w:val="00595C89"/>
    <w:rsid w:val="005969FB"/>
    <w:rsid w:val="005A1382"/>
    <w:rsid w:val="005A3B46"/>
    <w:rsid w:val="005A46F5"/>
    <w:rsid w:val="005B087B"/>
    <w:rsid w:val="005B0F70"/>
    <w:rsid w:val="005B3CAD"/>
    <w:rsid w:val="005B3CD4"/>
    <w:rsid w:val="005B44CA"/>
    <w:rsid w:val="005B4BBA"/>
    <w:rsid w:val="005B5A8D"/>
    <w:rsid w:val="005C198F"/>
    <w:rsid w:val="005C24C8"/>
    <w:rsid w:val="005C3D25"/>
    <w:rsid w:val="005C44E3"/>
    <w:rsid w:val="005C50F3"/>
    <w:rsid w:val="005C7252"/>
    <w:rsid w:val="005C7A57"/>
    <w:rsid w:val="005D123C"/>
    <w:rsid w:val="005D1AE3"/>
    <w:rsid w:val="005D21E6"/>
    <w:rsid w:val="005D47C3"/>
    <w:rsid w:val="005D563F"/>
    <w:rsid w:val="005D7E60"/>
    <w:rsid w:val="005D7F92"/>
    <w:rsid w:val="005E3E99"/>
    <w:rsid w:val="005E5CF2"/>
    <w:rsid w:val="005E690C"/>
    <w:rsid w:val="005E71AF"/>
    <w:rsid w:val="005F01FF"/>
    <w:rsid w:val="005F0AAE"/>
    <w:rsid w:val="005F2689"/>
    <w:rsid w:val="005F4D77"/>
    <w:rsid w:val="005F7361"/>
    <w:rsid w:val="00603C2B"/>
    <w:rsid w:val="00620FA3"/>
    <w:rsid w:val="00622872"/>
    <w:rsid w:val="00624FF9"/>
    <w:rsid w:val="0062565D"/>
    <w:rsid w:val="006313C7"/>
    <w:rsid w:val="00632AA5"/>
    <w:rsid w:val="00632FDC"/>
    <w:rsid w:val="006411E9"/>
    <w:rsid w:val="00642129"/>
    <w:rsid w:val="00643E72"/>
    <w:rsid w:val="006443F8"/>
    <w:rsid w:val="00647C56"/>
    <w:rsid w:val="00652CD4"/>
    <w:rsid w:val="0065450B"/>
    <w:rsid w:val="00657795"/>
    <w:rsid w:val="00657BFD"/>
    <w:rsid w:val="00661454"/>
    <w:rsid w:val="00662D3B"/>
    <w:rsid w:val="00662F89"/>
    <w:rsid w:val="006646C6"/>
    <w:rsid w:val="00665258"/>
    <w:rsid w:val="00665260"/>
    <w:rsid w:val="00670B86"/>
    <w:rsid w:val="00674235"/>
    <w:rsid w:val="0067520C"/>
    <w:rsid w:val="00676E5B"/>
    <w:rsid w:val="006771D4"/>
    <w:rsid w:val="00681C96"/>
    <w:rsid w:val="006835FA"/>
    <w:rsid w:val="00684D42"/>
    <w:rsid w:val="00685383"/>
    <w:rsid w:val="00686503"/>
    <w:rsid w:val="00690BB9"/>
    <w:rsid w:val="00691151"/>
    <w:rsid w:val="00692D75"/>
    <w:rsid w:val="00694CE2"/>
    <w:rsid w:val="00696325"/>
    <w:rsid w:val="00696784"/>
    <w:rsid w:val="00697731"/>
    <w:rsid w:val="00697DD0"/>
    <w:rsid w:val="006A02C5"/>
    <w:rsid w:val="006A4CEE"/>
    <w:rsid w:val="006A7099"/>
    <w:rsid w:val="006B096C"/>
    <w:rsid w:val="006B1C06"/>
    <w:rsid w:val="006B2CBC"/>
    <w:rsid w:val="006B35AE"/>
    <w:rsid w:val="006B4010"/>
    <w:rsid w:val="006B4157"/>
    <w:rsid w:val="006B4DCA"/>
    <w:rsid w:val="006C0264"/>
    <w:rsid w:val="006C15F3"/>
    <w:rsid w:val="006C20A7"/>
    <w:rsid w:val="006C6854"/>
    <w:rsid w:val="006C6D46"/>
    <w:rsid w:val="006C707D"/>
    <w:rsid w:val="006C72F5"/>
    <w:rsid w:val="006D207B"/>
    <w:rsid w:val="006D397C"/>
    <w:rsid w:val="006D3F49"/>
    <w:rsid w:val="006D4005"/>
    <w:rsid w:val="006D4871"/>
    <w:rsid w:val="006D4B3E"/>
    <w:rsid w:val="006D5006"/>
    <w:rsid w:val="006D5462"/>
    <w:rsid w:val="006D60E7"/>
    <w:rsid w:val="006D6847"/>
    <w:rsid w:val="006D762E"/>
    <w:rsid w:val="006D766B"/>
    <w:rsid w:val="006E0830"/>
    <w:rsid w:val="006E160F"/>
    <w:rsid w:val="006E1849"/>
    <w:rsid w:val="006E36A4"/>
    <w:rsid w:val="006E3CFB"/>
    <w:rsid w:val="006E580E"/>
    <w:rsid w:val="006F3564"/>
    <w:rsid w:val="006F45A7"/>
    <w:rsid w:val="006F4C87"/>
    <w:rsid w:val="006F5061"/>
    <w:rsid w:val="00702551"/>
    <w:rsid w:val="0070409C"/>
    <w:rsid w:val="007065A2"/>
    <w:rsid w:val="00707C69"/>
    <w:rsid w:val="0072081C"/>
    <w:rsid w:val="007220F8"/>
    <w:rsid w:val="0072605D"/>
    <w:rsid w:val="0072709B"/>
    <w:rsid w:val="007271E5"/>
    <w:rsid w:val="007275CD"/>
    <w:rsid w:val="00730107"/>
    <w:rsid w:val="00730D76"/>
    <w:rsid w:val="00736882"/>
    <w:rsid w:val="007376A5"/>
    <w:rsid w:val="00737FFB"/>
    <w:rsid w:val="00741A4E"/>
    <w:rsid w:val="007424BC"/>
    <w:rsid w:val="007435E2"/>
    <w:rsid w:val="0074450E"/>
    <w:rsid w:val="0074530E"/>
    <w:rsid w:val="007454B3"/>
    <w:rsid w:val="00747378"/>
    <w:rsid w:val="00751780"/>
    <w:rsid w:val="00752413"/>
    <w:rsid w:val="00753AA9"/>
    <w:rsid w:val="00754902"/>
    <w:rsid w:val="00754B18"/>
    <w:rsid w:val="0076383B"/>
    <w:rsid w:val="00770665"/>
    <w:rsid w:val="00770C14"/>
    <w:rsid w:val="00771B91"/>
    <w:rsid w:val="00774E90"/>
    <w:rsid w:val="00777703"/>
    <w:rsid w:val="0078037B"/>
    <w:rsid w:val="007806B9"/>
    <w:rsid w:val="007818A3"/>
    <w:rsid w:val="00783DF3"/>
    <w:rsid w:val="0079288A"/>
    <w:rsid w:val="00792A62"/>
    <w:rsid w:val="00793B2E"/>
    <w:rsid w:val="00793DDB"/>
    <w:rsid w:val="007A0B58"/>
    <w:rsid w:val="007A1364"/>
    <w:rsid w:val="007A2874"/>
    <w:rsid w:val="007A4D5E"/>
    <w:rsid w:val="007A7839"/>
    <w:rsid w:val="007A7A76"/>
    <w:rsid w:val="007B0141"/>
    <w:rsid w:val="007B4CD7"/>
    <w:rsid w:val="007B6AC1"/>
    <w:rsid w:val="007B73B7"/>
    <w:rsid w:val="007B74C5"/>
    <w:rsid w:val="007C19A5"/>
    <w:rsid w:val="007C1C66"/>
    <w:rsid w:val="007C1E00"/>
    <w:rsid w:val="007C4431"/>
    <w:rsid w:val="007C4E68"/>
    <w:rsid w:val="007C7295"/>
    <w:rsid w:val="007C7501"/>
    <w:rsid w:val="007D018D"/>
    <w:rsid w:val="007D06AF"/>
    <w:rsid w:val="007D4DDF"/>
    <w:rsid w:val="007D643B"/>
    <w:rsid w:val="007D7E29"/>
    <w:rsid w:val="007E02CE"/>
    <w:rsid w:val="007E1B31"/>
    <w:rsid w:val="007E1B87"/>
    <w:rsid w:val="007E2276"/>
    <w:rsid w:val="007E4E7B"/>
    <w:rsid w:val="007E66ED"/>
    <w:rsid w:val="007E6F5A"/>
    <w:rsid w:val="007F1200"/>
    <w:rsid w:val="007F19D7"/>
    <w:rsid w:val="007F5348"/>
    <w:rsid w:val="007F5CCC"/>
    <w:rsid w:val="007F70B9"/>
    <w:rsid w:val="00800EDD"/>
    <w:rsid w:val="0080291E"/>
    <w:rsid w:val="00804823"/>
    <w:rsid w:val="008067ED"/>
    <w:rsid w:val="0080773B"/>
    <w:rsid w:val="00810069"/>
    <w:rsid w:val="00810A0C"/>
    <w:rsid w:val="00812C43"/>
    <w:rsid w:val="008141CC"/>
    <w:rsid w:val="008160E1"/>
    <w:rsid w:val="008170FB"/>
    <w:rsid w:val="00817C96"/>
    <w:rsid w:val="00824AC4"/>
    <w:rsid w:val="0082685E"/>
    <w:rsid w:val="008277AD"/>
    <w:rsid w:val="008331E6"/>
    <w:rsid w:val="00835ADB"/>
    <w:rsid w:val="008368DB"/>
    <w:rsid w:val="008403C9"/>
    <w:rsid w:val="0084460E"/>
    <w:rsid w:val="00851DA0"/>
    <w:rsid w:val="00855262"/>
    <w:rsid w:val="00855683"/>
    <w:rsid w:val="00856E11"/>
    <w:rsid w:val="00863E09"/>
    <w:rsid w:val="008710F4"/>
    <w:rsid w:val="00871DD2"/>
    <w:rsid w:val="00872049"/>
    <w:rsid w:val="008721E1"/>
    <w:rsid w:val="0087536F"/>
    <w:rsid w:val="00875B48"/>
    <w:rsid w:val="00877182"/>
    <w:rsid w:val="00882009"/>
    <w:rsid w:val="00882A89"/>
    <w:rsid w:val="00883766"/>
    <w:rsid w:val="00886319"/>
    <w:rsid w:val="008863D4"/>
    <w:rsid w:val="00890C4C"/>
    <w:rsid w:val="00891718"/>
    <w:rsid w:val="00894232"/>
    <w:rsid w:val="0089452A"/>
    <w:rsid w:val="0089683B"/>
    <w:rsid w:val="00896BBC"/>
    <w:rsid w:val="0089727D"/>
    <w:rsid w:val="0089796A"/>
    <w:rsid w:val="008979C7"/>
    <w:rsid w:val="008A14D0"/>
    <w:rsid w:val="008A364B"/>
    <w:rsid w:val="008A3F56"/>
    <w:rsid w:val="008A4B7D"/>
    <w:rsid w:val="008A4EA0"/>
    <w:rsid w:val="008A5F26"/>
    <w:rsid w:val="008A70FA"/>
    <w:rsid w:val="008B1CB3"/>
    <w:rsid w:val="008B50A3"/>
    <w:rsid w:val="008B5AF6"/>
    <w:rsid w:val="008B5C8C"/>
    <w:rsid w:val="008B6573"/>
    <w:rsid w:val="008B6C60"/>
    <w:rsid w:val="008B79C6"/>
    <w:rsid w:val="008B7A31"/>
    <w:rsid w:val="008C2FA3"/>
    <w:rsid w:val="008C5A70"/>
    <w:rsid w:val="008C7FCF"/>
    <w:rsid w:val="008D0B70"/>
    <w:rsid w:val="008D1E2A"/>
    <w:rsid w:val="008D20C6"/>
    <w:rsid w:val="008E1621"/>
    <w:rsid w:val="008E42DF"/>
    <w:rsid w:val="008E5A31"/>
    <w:rsid w:val="008E7113"/>
    <w:rsid w:val="008F44CA"/>
    <w:rsid w:val="008F5068"/>
    <w:rsid w:val="008F511A"/>
    <w:rsid w:val="008F6786"/>
    <w:rsid w:val="00904ED4"/>
    <w:rsid w:val="0090694F"/>
    <w:rsid w:val="009078E2"/>
    <w:rsid w:val="009109F7"/>
    <w:rsid w:val="009125D9"/>
    <w:rsid w:val="009134ED"/>
    <w:rsid w:val="00914C58"/>
    <w:rsid w:val="00920F3E"/>
    <w:rsid w:val="0092118D"/>
    <w:rsid w:val="00922A7A"/>
    <w:rsid w:val="009241B5"/>
    <w:rsid w:val="00924643"/>
    <w:rsid w:val="00924F9B"/>
    <w:rsid w:val="009268F2"/>
    <w:rsid w:val="00930E92"/>
    <w:rsid w:val="00933BFC"/>
    <w:rsid w:val="009345EA"/>
    <w:rsid w:val="009354F0"/>
    <w:rsid w:val="009360EC"/>
    <w:rsid w:val="0093659F"/>
    <w:rsid w:val="00937B77"/>
    <w:rsid w:val="009405A9"/>
    <w:rsid w:val="00940C5D"/>
    <w:rsid w:val="00940FF4"/>
    <w:rsid w:val="00941A24"/>
    <w:rsid w:val="00941DFE"/>
    <w:rsid w:val="00942054"/>
    <w:rsid w:val="009464B9"/>
    <w:rsid w:val="00947390"/>
    <w:rsid w:val="00951181"/>
    <w:rsid w:val="0095273E"/>
    <w:rsid w:val="00955197"/>
    <w:rsid w:val="0096185C"/>
    <w:rsid w:val="00962026"/>
    <w:rsid w:val="00962C31"/>
    <w:rsid w:val="00963540"/>
    <w:rsid w:val="00963608"/>
    <w:rsid w:val="00963821"/>
    <w:rsid w:val="00963A0D"/>
    <w:rsid w:val="00964861"/>
    <w:rsid w:val="00965C0B"/>
    <w:rsid w:val="00966E4B"/>
    <w:rsid w:val="00970187"/>
    <w:rsid w:val="00970D77"/>
    <w:rsid w:val="00970E99"/>
    <w:rsid w:val="009753E1"/>
    <w:rsid w:val="00976B17"/>
    <w:rsid w:val="00981212"/>
    <w:rsid w:val="009828C4"/>
    <w:rsid w:val="00983354"/>
    <w:rsid w:val="00984EE9"/>
    <w:rsid w:val="00985407"/>
    <w:rsid w:val="009856E9"/>
    <w:rsid w:val="00985BD2"/>
    <w:rsid w:val="00985FF8"/>
    <w:rsid w:val="00986E92"/>
    <w:rsid w:val="00987766"/>
    <w:rsid w:val="009930DE"/>
    <w:rsid w:val="00993C60"/>
    <w:rsid w:val="00993F5E"/>
    <w:rsid w:val="0099401E"/>
    <w:rsid w:val="009A217A"/>
    <w:rsid w:val="009A2946"/>
    <w:rsid w:val="009A397A"/>
    <w:rsid w:val="009A5839"/>
    <w:rsid w:val="009A6F63"/>
    <w:rsid w:val="009B166E"/>
    <w:rsid w:val="009B2315"/>
    <w:rsid w:val="009B5ECE"/>
    <w:rsid w:val="009C51AA"/>
    <w:rsid w:val="009C5937"/>
    <w:rsid w:val="009C62AB"/>
    <w:rsid w:val="009C657C"/>
    <w:rsid w:val="009C6BF1"/>
    <w:rsid w:val="009C7893"/>
    <w:rsid w:val="009D0E90"/>
    <w:rsid w:val="009D2F4D"/>
    <w:rsid w:val="009D4A38"/>
    <w:rsid w:val="009D556E"/>
    <w:rsid w:val="009D7E19"/>
    <w:rsid w:val="009E264F"/>
    <w:rsid w:val="009E4021"/>
    <w:rsid w:val="009E41CB"/>
    <w:rsid w:val="009E6737"/>
    <w:rsid w:val="009E7B33"/>
    <w:rsid w:val="009F1DC7"/>
    <w:rsid w:val="009F2300"/>
    <w:rsid w:val="009F441A"/>
    <w:rsid w:val="009F624E"/>
    <w:rsid w:val="009F6F35"/>
    <w:rsid w:val="009F7D00"/>
    <w:rsid w:val="00A03E10"/>
    <w:rsid w:val="00A048F5"/>
    <w:rsid w:val="00A05670"/>
    <w:rsid w:val="00A06BBE"/>
    <w:rsid w:val="00A06DA6"/>
    <w:rsid w:val="00A07D94"/>
    <w:rsid w:val="00A10BA5"/>
    <w:rsid w:val="00A13713"/>
    <w:rsid w:val="00A175F0"/>
    <w:rsid w:val="00A17904"/>
    <w:rsid w:val="00A17D29"/>
    <w:rsid w:val="00A2120B"/>
    <w:rsid w:val="00A21893"/>
    <w:rsid w:val="00A24916"/>
    <w:rsid w:val="00A2655D"/>
    <w:rsid w:val="00A30391"/>
    <w:rsid w:val="00A304B0"/>
    <w:rsid w:val="00A30CAA"/>
    <w:rsid w:val="00A31ADE"/>
    <w:rsid w:val="00A35558"/>
    <w:rsid w:val="00A37463"/>
    <w:rsid w:val="00A4062F"/>
    <w:rsid w:val="00A436FF"/>
    <w:rsid w:val="00A43E44"/>
    <w:rsid w:val="00A53761"/>
    <w:rsid w:val="00A558E2"/>
    <w:rsid w:val="00A56E1A"/>
    <w:rsid w:val="00A60CD9"/>
    <w:rsid w:val="00A63CDB"/>
    <w:rsid w:val="00A650C0"/>
    <w:rsid w:val="00A65FD4"/>
    <w:rsid w:val="00A66221"/>
    <w:rsid w:val="00A67D0A"/>
    <w:rsid w:val="00A70146"/>
    <w:rsid w:val="00A705FF"/>
    <w:rsid w:val="00A73A28"/>
    <w:rsid w:val="00A763D8"/>
    <w:rsid w:val="00A835BA"/>
    <w:rsid w:val="00A8429F"/>
    <w:rsid w:val="00A84946"/>
    <w:rsid w:val="00A877C0"/>
    <w:rsid w:val="00A91069"/>
    <w:rsid w:val="00A910CC"/>
    <w:rsid w:val="00A922C8"/>
    <w:rsid w:val="00A963C2"/>
    <w:rsid w:val="00A97467"/>
    <w:rsid w:val="00AA01CB"/>
    <w:rsid w:val="00AA223B"/>
    <w:rsid w:val="00AA4A90"/>
    <w:rsid w:val="00AA5987"/>
    <w:rsid w:val="00AA5A13"/>
    <w:rsid w:val="00AA5D53"/>
    <w:rsid w:val="00AA647A"/>
    <w:rsid w:val="00AB0AB6"/>
    <w:rsid w:val="00AB1DD5"/>
    <w:rsid w:val="00AB2419"/>
    <w:rsid w:val="00AB7101"/>
    <w:rsid w:val="00AC027A"/>
    <w:rsid w:val="00AC1D8B"/>
    <w:rsid w:val="00AC45F0"/>
    <w:rsid w:val="00AC52D8"/>
    <w:rsid w:val="00AD5760"/>
    <w:rsid w:val="00AD6551"/>
    <w:rsid w:val="00AE1E57"/>
    <w:rsid w:val="00AE275E"/>
    <w:rsid w:val="00AE282B"/>
    <w:rsid w:val="00AE3480"/>
    <w:rsid w:val="00AE3A60"/>
    <w:rsid w:val="00AE4477"/>
    <w:rsid w:val="00AE4BF3"/>
    <w:rsid w:val="00AE4F61"/>
    <w:rsid w:val="00AE55DF"/>
    <w:rsid w:val="00AE5EF7"/>
    <w:rsid w:val="00AF3AB1"/>
    <w:rsid w:val="00AF3ACC"/>
    <w:rsid w:val="00AF449E"/>
    <w:rsid w:val="00AF4C63"/>
    <w:rsid w:val="00AF7216"/>
    <w:rsid w:val="00B00DBA"/>
    <w:rsid w:val="00B00EBD"/>
    <w:rsid w:val="00B03741"/>
    <w:rsid w:val="00B05477"/>
    <w:rsid w:val="00B05505"/>
    <w:rsid w:val="00B05C9A"/>
    <w:rsid w:val="00B112F1"/>
    <w:rsid w:val="00B115B3"/>
    <w:rsid w:val="00B125C4"/>
    <w:rsid w:val="00B12899"/>
    <w:rsid w:val="00B130E1"/>
    <w:rsid w:val="00B16295"/>
    <w:rsid w:val="00B2389E"/>
    <w:rsid w:val="00B31192"/>
    <w:rsid w:val="00B320BA"/>
    <w:rsid w:val="00B340E5"/>
    <w:rsid w:val="00B351FD"/>
    <w:rsid w:val="00B363D4"/>
    <w:rsid w:val="00B3783D"/>
    <w:rsid w:val="00B379E2"/>
    <w:rsid w:val="00B40DD6"/>
    <w:rsid w:val="00B419E4"/>
    <w:rsid w:val="00B46234"/>
    <w:rsid w:val="00B46BAE"/>
    <w:rsid w:val="00B47424"/>
    <w:rsid w:val="00B50020"/>
    <w:rsid w:val="00B515B0"/>
    <w:rsid w:val="00B516BB"/>
    <w:rsid w:val="00B52883"/>
    <w:rsid w:val="00B612C6"/>
    <w:rsid w:val="00B625F3"/>
    <w:rsid w:val="00B62905"/>
    <w:rsid w:val="00B6481C"/>
    <w:rsid w:val="00B663E6"/>
    <w:rsid w:val="00B66566"/>
    <w:rsid w:val="00B71373"/>
    <w:rsid w:val="00B714D1"/>
    <w:rsid w:val="00B71B9E"/>
    <w:rsid w:val="00B71FBD"/>
    <w:rsid w:val="00B72C04"/>
    <w:rsid w:val="00B72E62"/>
    <w:rsid w:val="00B752B1"/>
    <w:rsid w:val="00B75C3A"/>
    <w:rsid w:val="00B76688"/>
    <w:rsid w:val="00B80F43"/>
    <w:rsid w:val="00B824EF"/>
    <w:rsid w:val="00B93814"/>
    <w:rsid w:val="00B96878"/>
    <w:rsid w:val="00B97EA2"/>
    <w:rsid w:val="00BA4853"/>
    <w:rsid w:val="00BA556C"/>
    <w:rsid w:val="00BA581A"/>
    <w:rsid w:val="00BA5B07"/>
    <w:rsid w:val="00BA75FF"/>
    <w:rsid w:val="00BB03F5"/>
    <w:rsid w:val="00BB1257"/>
    <w:rsid w:val="00BB2599"/>
    <w:rsid w:val="00BB300C"/>
    <w:rsid w:val="00BB5EE4"/>
    <w:rsid w:val="00BB60EB"/>
    <w:rsid w:val="00BB777B"/>
    <w:rsid w:val="00BB7CD3"/>
    <w:rsid w:val="00BC0A68"/>
    <w:rsid w:val="00BC4A5E"/>
    <w:rsid w:val="00BC57CA"/>
    <w:rsid w:val="00BC7576"/>
    <w:rsid w:val="00BD36FF"/>
    <w:rsid w:val="00BD40D3"/>
    <w:rsid w:val="00BD4CD3"/>
    <w:rsid w:val="00BD4EFD"/>
    <w:rsid w:val="00BD6722"/>
    <w:rsid w:val="00BE0DD1"/>
    <w:rsid w:val="00BE38B7"/>
    <w:rsid w:val="00BE684F"/>
    <w:rsid w:val="00BE7694"/>
    <w:rsid w:val="00BE7D96"/>
    <w:rsid w:val="00BF052B"/>
    <w:rsid w:val="00BF05FD"/>
    <w:rsid w:val="00BF3A10"/>
    <w:rsid w:val="00BF447E"/>
    <w:rsid w:val="00C00545"/>
    <w:rsid w:val="00C05B92"/>
    <w:rsid w:val="00C2396B"/>
    <w:rsid w:val="00C23E04"/>
    <w:rsid w:val="00C245AB"/>
    <w:rsid w:val="00C30166"/>
    <w:rsid w:val="00C30B02"/>
    <w:rsid w:val="00C34CEE"/>
    <w:rsid w:val="00C358D2"/>
    <w:rsid w:val="00C35E03"/>
    <w:rsid w:val="00C35EF7"/>
    <w:rsid w:val="00C36D40"/>
    <w:rsid w:val="00C37BBA"/>
    <w:rsid w:val="00C4145C"/>
    <w:rsid w:val="00C414F4"/>
    <w:rsid w:val="00C46437"/>
    <w:rsid w:val="00C47CBB"/>
    <w:rsid w:val="00C51926"/>
    <w:rsid w:val="00C54D67"/>
    <w:rsid w:val="00C554E1"/>
    <w:rsid w:val="00C57CC7"/>
    <w:rsid w:val="00C622AF"/>
    <w:rsid w:val="00C7118A"/>
    <w:rsid w:val="00C730F3"/>
    <w:rsid w:val="00C844D4"/>
    <w:rsid w:val="00C8537A"/>
    <w:rsid w:val="00C859A0"/>
    <w:rsid w:val="00C85E32"/>
    <w:rsid w:val="00C8635E"/>
    <w:rsid w:val="00C91CC0"/>
    <w:rsid w:val="00C939C9"/>
    <w:rsid w:val="00C944A3"/>
    <w:rsid w:val="00C95495"/>
    <w:rsid w:val="00C97F84"/>
    <w:rsid w:val="00C97FF5"/>
    <w:rsid w:val="00CA005A"/>
    <w:rsid w:val="00CA141E"/>
    <w:rsid w:val="00CA1624"/>
    <w:rsid w:val="00CA1D14"/>
    <w:rsid w:val="00CA25BE"/>
    <w:rsid w:val="00CA3EA3"/>
    <w:rsid w:val="00CA43AD"/>
    <w:rsid w:val="00CA6C4B"/>
    <w:rsid w:val="00CA7CF7"/>
    <w:rsid w:val="00CB05D3"/>
    <w:rsid w:val="00CB15CE"/>
    <w:rsid w:val="00CB2917"/>
    <w:rsid w:val="00CB2EFA"/>
    <w:rsid w:val="00CB3E1A"/>
    <w:rsid w:val="00CB5201"/>
    <w:rsid w:val="00CB6330"/>
    <w:rsid w:val="00CB6D71"/>
    <w:rsid w:val="00CB742E"/>
    <w:rsid w:val="00CC171B"/>
    <w:rsid w:val="00CC3EDB"/>
    <w:rsid w:val="00CC3F26"/>
    <w:rsid w:val="00CD37C6"/>
    <w:rsid w:val="00CD49A2"/>
    <w:rsid w:val="00CD4DF3"/>
    <w:rsid w:val="00CD4FBB"/>
    <w:rsid w:val="00CE1451"/>
    <w:rsid w:val="00CE1B3D"/>
    <w:rsid w:val="00CE54A2"/>
    <w:rsid w:val="00CF1378"/>
    <w:rsid w:val="00CF34D8"/>
    <w:rsid w:val="00D042E4"/>
    <w:rsid w:val="00D04DD6"/>
    <w:rsid w:val="00D05B9C"/>
    <w:rsid w:val="00D06BC2"/>
    <w:rsid w:val="00D06CA9"/>
    <w:rsid w:val="00D101C9"/>
    <w:rsid w:val="00D107C3"/>
    <w:rsid w:val="00D13375"/>
    <w:rsid w:val="00D1372B"/>
    <w:rsid w:val="00D137DD"/>
    <w:rsid w:val="00D20582"/>
    <w:rsid w:val="00D232EE"/>
    <w:rsid w:val="00D238C3"/>
    <w:rsid w:val="00D2407B"/>
    <w:rsid w:val="00D2593C"/>
    <w:rsid w:val="00D2626A"/>
    <w:rsid w:val="00D26B4C"/>
    <w:rsid w:val="00D27155"/>
    <w:rsid w:val="00D27826"/>
    <w:rsid w:val="00D32D47"/>
    <w:rsid w:val="00D353E1"/>
    <w:rsid w:val="00D44D5C"/>
    <w:rsid w:val="00D45ECA"/>
    <w:rsid w:val="00D46B04"/>
    <w:rsid w:val="00D51223"/>
    <w:rsid w:val="00D5187D"/>
    <w:rsid w:val="00D53F91"/>
    <w:rsid w:val="00D54BF0"/>
    <w:rsid w:val="00D55365"/>
    <w:rsid w:val="00D579E3"/>
    <w:rsid w:val="00D57B01"/>
    <w:rsid w:val="00D6323A"/>
    <w:rsid w:val="00D64E54"/>
    <w:rsid w:val="00D6597E"/>
    <w:rsid w:val="00D65F6E"/>
    <w:rsid w:val="00D662F2"/>
    <w:rsid w:val="00D6660E"/>
    <w:rsid w:val="00D67136"/>
    <w:rsid w:val="00D678B9"/>
    <w:rsid w:val="00D719DB"/>
    <w:rsid w:val="00D73848"/>
    <w:rsid w:val="00D741B4"/>
    <w:rsid w:val="00D8167F"/>
    <w:rsid w:val="00D81F35"/>
    <w:rsid w:val="00D82A25"/>
    <w:rsid w:val="00D83F4A"/>
    <w:rsid w:val="00D84641"/>
    <w:rsid w:val="00D85BC9"/>
    <w:rsid w:val="00D872DB"/>
    <w:rsid w:val="00D904FE"/>
    <w:rsid w:val="00D90C60"/>
    <w:rsid w:val="00D90EA0"/>
    <w:rsid w:val="00D91153"/>
    <w:rsid w:val="00D94C13"/>
    <w:rsid w:val="00D94EE2"/>
    <w:rsid w:val="00D96F45"/>
    <w:rsid w:val="00D97FEC"/>
    <w:rsid w:val="00DA101E"/>
    <w:rsid w:val="00DA34F9"/>
    <w:rsid w:val="00DA64B4"/>
    <w:rsid w:val="00DA7E20"/>
    <w:rsid w:val="00DB1A8F"/>
    <w:rsid w:val="00DB3BFB"/>
    <w:rsid w:val="00DB6717"/>
    <w:rsid w:val="00DB771E"/>
    <w:rsid w:val="00DC2F73"/>
    <w:rsid w:val="00DC43EE"/>
    <w:rsid w:val="00DC4A06"/>
    <w:rsid w:val="00DC54A3"/>
    <w:rsid w:val="00DC5D84"/>
    <w:rsid w:val="00DD1959"/>
    <w:rsid w:val="00DD1CC9"/>
    <w:rsid w:val="00DD2BEC"/>
    <w:rsid w:val="00DD388F"/>
    <w:rsid w:val="00DD6915"/>
    <w:rsid w:val="00DD72DF"/>
    <w:rsid w:val="00DD7EC3"/>
    <w:rsid w:val="00DE5905"/>
    <w:rsid w:val="00DF0464"/>
    <w:rsid w:val="00DF0790"/>
    <w:rsid w:val="00DF5070"/>
    <w:rsid w:val="00DF5B13"/>
    <w:rsid w:val="00DF65A6"/>
    <w:rsid w:val="00DF6869"/>
    <w:rsid w:val="00DF79FB"/>
    <w:rsid w:val="00DF7E1F"/>
    <w:rsid w:val="00E02545"/>
    <w:rsid w:val="00E125D6"/>
    <w:rsid w:val="00E12F3C"/>
    <w:rsid w:val="00E21B45"/>
    <w:rsid w:val="00E237D4"/>
    <w:rsid w:val="00E269A0"/>
    <w:rsid w:val="00E30451"/>
    <w:rsid w:val="00E3375C"/>
    <w:rsid w:val="00E35B9D"/>
    <w:rsid w:val="00E37005"/>
    <w:rsid w:val="00E4274E"/>
    <w:rsid w:val="00E42FCC"/>
    <w:rsid w:val="00E433B0"/>
    <w:rsid w:val="00E45BF7"/>
    <w:rsid w:val="00E4693D"/>
    <w:rsid w:val="00E47DC4"/>
    <w:rsid w:val="00E532AC"/>
    <w:rsid w:val="00E5559C"/>
    <w:rsid w:val="00E56F6C"/>
    <w:rsid w:val="00E579F0"/>
    <w:rsid w:val="00E62144"/>
    <w:rsid w:val="00E623B9"/>
    <w:rsid w:val="00E62A4C"/>
    <w:rsid w:val="00E6626C"/>
    <w:rsid w:val="00E67873"/>
    <w:rsid w:val="00E6787F"/>
    <w:rsid w:val="00E679BF"/>
    <w:rsid w:val="00E67E6A"/>
    <w:rsid w:val="00E706D5"/>
    <w:rsid w:val="00E70F29"/>
    <w:rsid w:val="00E71A82"/>
    <w:rsid w:val="00E7221C"/>
    <w:rsid w:val="00E7611D"/>
    <w:rsid w:val="00E81D34"/>
    <w:rsid w:val="00E825CB"/>
    <w:rsid w:val="00E84325"/>
    <w:rsid w:val="00E91471"/>
    <w:rsid w:val="00E92306"/>
    <w:rsid w:val="00E93F4E"/>
    <w:rsid w:val="00E946BE"/>
    <w:rsid w:val="00E94B36"/>
    <w:rsid w:val="00E95029"/>
    <w:rsid w:val="00E95137"/>
    <w:rsid w:val="00E95346"/>
    <w:rsid w:val="00E97020"/>
    <w:rsid w:val="00EA01B9"/>
    <w:rsid w:val="00EA2E8B"/>
    <w:rsid w:val="00EA3C6D"/>
    <w:rsid w:val="00EA4C34"/>
    <w:rsid w:val="00EB0114"/>
    <w:rsid w:val="00EB0FFD"/>
    <w:rsid w:val="00EB24BC"/>
    <w:rsid w:val="00EB3075"/>
    <w:rsid w:val="00EB3EDC"/>
    <w:rsid w:val="00EB58B9"/>
    <w:rsid w:val="00EB6827"/>
    <w:rsid w:val="00EC54BE"/>
    <w:rsid w:val="00EC6191"/>
    <w:rsid w:val="00ED174C"/>
    <w:rsid w:val="00ED7007"/>
    <w:rsid w:val="00EE0AAE"/>
    <w:rsid w:val="00EE0BC1"/>
    <w:rsid w:val="00EE0FDB"/>
    <w:rsid w:val="00EE6A55"/>
    <w:rsid w:val="00EF0751"/>
    <w:rsid w:val="00EF1707"/>
    <w:rsid w:val="00EF1A3A"/>
    <w:rsid w:val="00EF2106"/>
    <w:rsid w:val="00EF3783"/>
    <w:rsid w:val="00EF58C7"/>
    <w:rsid w:val="00EF7833"/>
    <w:rsid w:val="00F00A8F"/>
    <w:rsid w:val="00F05267"/>
    <w:rsid w:val="00F05E99"/>
    <w:rsid w:val="00F06333"/>
    <w:rsid w:val="00F07F0C"/>
    <w:rsid w:val="00F152C2"/>
    <w:rsid w:val="00F15B55"/>
    <w:rsid w:val="00F174CB"/>
    <w:rsid w:val="00F210AD"/>
    <w:rsid w:val="00F23ABB"/>
    <w:rsid w:val="00F251A9"/>
    <w:rsid w:val="00F254EA"/>
    <w:rsid w:val="00F26BEB"/>
    <w:rsid w:val="00F2706C"/>
    <w:rsid w:val="00F301A3"/>
    <w:rsid w:val="00F31F00"/>
    <w:rsid w:val="00F33AB6"/>
    <w:rsid w:val="00F3639B"/>
    <w:rsid w:val="00F470C6"/>
    <w:rsid w:val="00F510A6"/>
    <w:rsid w:val="00F54D57"/>
    <w:rsid w:val="00F57266"/>
    <w:rsid w:val="00F575A3"/>
    <w:rsid w:val="00F57603"/>
    <w:rsid w:val="00F6144B"/>
    <w:rsid w:val="00F63686"/>
    <w:rsid w:val="00F719B0"/>
    <w:rsid w:val="00F72AE2"/>
    <w:rsid w:val="00F72ED4"/>
    <w:rsid w:val="00F7407F"/>
    <w:rsid w:val="00F74A5E"/>
    <w:rsid w:val="00F753B3"/>
    <w:rsid w:val="00F75A50"/>
    <w:rsid w:val="00F75BC7"/>
    <w:rsid w:val="00F811BE"/>
    <w:rsid w:val="00F83C0F"/>
    <w:rsid w:val="00F855EC"/>
    <w:rsid w:val="00F85B5F"/>
    <w:rsid w:val="00F865F5"/>
    <w:rsid w:val="00F920A9"/>
    <w:rsid w:val="00F92FA6"/>
    <w:rsid w:val="00F93F8F"/>
    <w:rsid w:val="00F952B4"/>
    <w:rsid w:val="00FA0A70"/>
    <w:rsid w:val="00FA1BFE"/>
    <w:rsid w:val="00FA1E74"/>
    <w:rsid w:val="00FA3A50"/>
    <w:rsid w:val="00FA4980"/>
    <w:rsid w:val="00FA63E3"/>
    <w:rsid w:val="00FA675B"/>
    <w:rsid w:val="00FB0B78"/>
    <w:rsid w:val="00FB0DEF"/>
    <w:rsid w:val="00FB4259"/>
    <w:rsid w:val="00FB4977"/>
    <w:rsid w:val="00FB5389"/>
    <w:rsid w:val="00FB7DCE"/>
    <w:rsid w:val="00FC2FF6"/>
    <w:rsid w:val="00FC3CE4"/>
    <w:rsid w:val="00FC5526"/>
    <w:rsid w:val="00FC6B10"/>
    <w:rsid w:val="00FC6EDD"/>
    <w:rsid w:val="00FC6F8A"/>
    <w:rsid w:val="00FC715E"/>
    <w:rsid w:val="00FC7FEB"/>
    <w:rsid w:val="00FD6F37"/>
    <w:rsid w:val="00FE03D9"/>
    <w:rsid w:val="00FE3294"/>
    <w:rsid w:val="00FF04DA"/>
    <w:rsid w:val="00FF0E14"/>
    <w:rsid w:val="00FF35F0"/>
    <w:rsid w:val="00FF3BAD"/>
    <w:rsid w:val="00FF746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B5B922"/>
  <w15:chartTrackingRefBased/>
  <w15:docId w15:val="{2BF2A4D9-3DB2-4C27-AB62-F1537D8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006"/>
    <w:pPr>
      <w:spacing w:before="120" w:after="240" w:line="360" w:lineRule="auto"/>
    </w:pPr>
    <w:rPr>
      <w:rFonts w:ascii="Times New Roman" w:eastAsia="Times New Roman" w:hAnsi="Times New Roman" w:cs="Times New Roman"/>
      <w:sz w:val="24"/>
      <w:szCs w:val="22"/>
      <w:lang w:eastAsia="nl-NL"/>
    </w:rPr>
  </w:style>
  <w:style w:type="paragraph" w:styleId="Heading1">
    <w:name w:val="heading 1"/>
    <w:basedOn w:val="Normal"/>
    <w:next w:val="Normal"/>
    <w:link w:val="Heading1Char"/>
    <w:uiPriority w:val="1"/>
    <w:qFormat/>
    <w:rsid w:val="00306404"/>
    <w:pPr>
      <w:keepNext/>
      <w:outlineLvl w:val="0"/>
    </w:pPr>
    <w:rPr>
      <w:rFonts w:ascii="Arial" w:hAnsi="Arial"/>
      <w:b/>
      <w:bCs/>
      <w:szCs w:val="24"/>
    </w:rPr>
  </w:style>
  <w:style w:type="paragraph" w:styleId="Heading2">
    <w:name w:val="heading 2"/>
    <w:basedOn w:val="Normal"/>
    <w:next w:val="Normal"/>
    <w:link w:val="Heading2Char"/>
    <w:uiPriority w:val="9"/>
    <w:qFormat/>
    <w:rsid w:val="00D719DB"/>
    <w:pPr>
      <w:keepNext/>
      <w:outlineLvl w:val="1"/>
    </w:pPr>
    <w:rPr>
      <w:rFonts w:ascii="Arial" w:hAnsi="Arial"/>
      <w:b/>
      <w:bCs/>
      <w:iCs/>
      <w:szCs w:val="24"/>
    </w:rPr>
  </w:style>
  <w:style w:type="paragraph" w:styleId="Heading3">
    <w:name w:val="heading 3"/>
    <w:basedOn w:val="Normal"/>
    <w:next w:val="Normal"/>
    <w:link w:val="Heading3Char"/>
    <w:uiPriority w:val="9"/>
    <w:qFormat/>
    <w:rsid w:val="00DD1CC9"/>
    <w:pPr>
      <w:keepNext/>
      <w:outlineLvl w:val="2"/>
    </w:pPr>
    <w:rPr>
      <w:rFonts w:ascii="Arial" w:hAnsi="Arial"/>
      <w:b/>
      <w:bCs/>
      <w:szCs w:val="24"/>
    </w:rPr>
  </w:style>
  <w:style w:type="paragraph" w:styleId="Heading4">
    <w:name w:val="heading 4"/>
    <w:basedOn w:val="Normal"/>
    <w:next w:val="Normal"/>
    <w:link w:val="Heading4Char"/>
    <w:uiPriority w:val="9"/>
    <w:qFormat/>
    <w:rsid w:val="00624FF9"/>
    <w:pPr>
      <w:keepNext/>
      <w:numPr>
        <w:ilvl w:val="3"/>
        <w:numId w:val="3"/>
      </w:numPr>
      <w:spacing w:before="240" w:after="60"/>
      <w:outlineLvl w:val="3"/>
    </w:pPr>
    <w:rPr>
      <w:rFonts w:ascii="Calibri" w:hAnsi="Calibri"/>
      <w:b/>
      <w:bCs/>
      <w:sz w:val="28"/>
      <w:szCs w:val="28"/>
      <w:lang w:val="en-US"/>
    </w:rPr>
  </w:style>
  <w:style w:type="paragraph" w:styleId="Heading5">
    <w:name w:val="heading 5"/>
    <w:basedOn w:val="Normal"/>
    <w:next w:val="Normal"/>
    <w:link w:val="Heading5Char"/>
    <w:qFormat/>
    <w:rsid w:val="00624FF9"/>
    <w:pPr>
      <w:numPr>
        <w:ilvl w:val="4"/>
        <w:numId w:val="3"/>
      </w:numPr>
      <w:spacing w:before="240" w:after="60"/>
      <w:outlineLvl w:val="4"/>
    </w:pPr>
    <w:rPr>
      <w:rFonts w:ascii="Arial" w:hAnsi="Arial"/>
      <w:b/>
      <w:bCs/>
      <w:i/>
      <w:iCs/>
      <w:sz w:val="26"/>
      <w:szCs w:val="26"/>
      <w:lang w:val="en-US"/>
    </w:rPr>
  </w:style>
  <w:style w:type="paragraph" w:styleId="Heading6">
    <w:name w:val="heading 6"/>
    <w:basedOn w:val="Normal"/>
    <w:next w:val="Normal"/>
    <w:link w:val="Heading6Char"/>
    <w:uiPriority w:val="9"/>
    <w:qFormat/>
    <w:rsid w:val="00624FF9"/>
    <w:pPr>
      <w:numPr>
        <w:ilvl w:val="5"/>
        <w:numId w:val="3"/>
      </w:numPr>
      <w:spacing w:before="240" w:after="60"/>
      <w:outlineLvl w:val="5"/>
    </w:pPr>
    <w:rPr>
      <w:rFonts w:ascii="Calibri" w:hAnsi="Calibri"/>
      <w:b/>
      <w:bCs/>
      <w:lang w:val="en-US"/>
    </w:rPr>
  </w:style>
  <w:style w:type="paragraph" w:styleId="Heading7">
    <w:name w:val="heading 7"/>
    <w:basedOn w:val="Normal"/>
    <w:next w:val="Normal"/>
    <w:link w:val="Heading7Char"/>
    <w:uiPriority w:val="9"/>
    <w:qFormat/>
    <w:rsid w:val="00624FF9"/>
    <w:pPr>
      <w:numPr>
        <w:ilvl w:val="6"/>
        <w:numId w:val="3"/>
      </w:numPr>
      <w:spacing w:before="240" w:after="60"/>
      <w:outlineLvl w:val="6"/>
    </w:pPr>
    <w:rPr>
      <w:rFonts w:ascii="Calibri" w:hAnsi="Calibri"/>
      <w:szCs w:val="24"/>
      <w:lang w:val="en-US"/>
    </w:rPr>
  </w:style>
  <w:style w:type="paragraph" w:styleId="Heading8">
    <w:name w:val="heading 8"/>
    <w:basedOn w:val="Normal"/>
    <w:next w:val="Normal"/>
    <w:link w:val="Heading8Char"/>
    <w:uiPriority w:val="9"/>
    <w:qFormat/>
    <w:rsid w:val="00624FF9"/>
    <w:pPr>
      <w:numPr>
        <w:ilvl w:val="7"/>
        <w:numId w:val="3"/>
      </w:numPr>
      <w:spacing w:before="240" w:after="60"/>
      <w:outlineLvl w:val="7"/>
    </w:pPr>
    <w:rPr>
      <w:rFonts w:ascii="Calibri" w:hAnsi="Calibri"/>
      <w:i/>
      <w:iCs/>
      <w:szCs w:val="24"/>
      <w:lang w:val="en-US"/>
    </w:rPr>
  </w:style>
  <w:style w:type="paragraph" w:styleId="Heading9">
    <w:name w:val="heading 9"/>
    <w:basedOn w:val="Normal"/>
    <w:next w:val="Normal"/>
    <w:link w:val="Heading9Char"/>
    <w:uiPriority w:val="9"/>
    <w:qFormat/>
    <w:rsid w:val="00624FF9"/>
    <w:pPr>
      <w:numPr>
        <w:ilvl w:val="8"/>
        <w:numId w:val="3"/>
      </w:numPr>
      <w:spacing w:before="240" w:after="60"/>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33"/>
    <w:rPr>
      <w:rFonts w:ascii="Lucida Grande" w:hAnsi="Lucida Grande" w:cs="Lucida Grande"/>
      <w:sz w:val="18"/>
      <w:szCs w:val="18"/>
    </w:rPr>
  </w:style>
  <w:style w:type="character" w:customStyle="1" w:styleId="BalloonTextChar">
    <w:name w:val="Balloon Text Char"/>
    <w:link w:val="BalloonText"/>
    <w:uiPriority w:val="99"/>
    <w:semiHidden/>
    <w:rsid w:val="00251133"/>
    <w:rPr>
      <w:rFonts w:ascii="Lucida Grande" w:eastAsia="Times New Roman" w:hAnsi="Lucida Grande" w:cs="Lucida Grande"/>
      <w:sz w:val="18"/>
      <w:szCs w:val="18"/>
      <w:lang w:val="en-GB" w:eastAsia="nl-NL"/>
    </w:rPr>
  </w:style>
  <w:style w:type="character" w:styleId="FootnoteReference">
    <w:name w:val="footnote reference"/>
    <w:aliases w:val="Footnote Refernece,Footnote Reference Number,*Footnote Reference,Footnotes refss,Appel note de bas de p.,Car Char Car Char Car Char Char Char Char Char Char Char Char,Footnote Refernece Char Char1,4_G,11 pt,Style 10,Footnote symbol"/>
    <w:link w:val="CarCharCarCharCarCharCharCharCharCharCharChar"/>
    <w:unhideWhenUsed/>
    <w:qFormat/>
    <w:rsid w:val="00A84946"/>
    <w:rPr>
      <w:vertAlign w:val="superscript"/>
    </w:rPr>
  </w:style>
  <w:style w:type="paragraph" w:customStyle="1" w:styleId="CarCharCarCharCarCharCharCharCharCharCharChar">
    <w:name w:val="Car Char Car Char Car Char Char Char Char Char Char Char"/>
    <w:aliases w:val="Footnote Refernece Char,Footnote Refernece Char Char Char Char"/>
    <w:basedOn w:val="Normal"/>
    <w:link w:val="FootnoteReference"/>
    <w:rsid w:val="00A84946"/>
    <w:pPr>
      <w:autoSpaceDE w:val="0"/>
      <w:autoSpaceDN w:val="0"/>
      <w:spacing w:after="160" w:line="240" w:lineRule="exact"/>
      <w:jc w:val="both"/>
    </w:pPr>
    <w:rPr>
      <w:rFonts w:ascii="Arial" w:eastAsia="MS Mincho" w:hAnsi="Arial" w:cs="Arial"/>
      <w:szCs w:val="24"/>
      <w:vertAlign w:val="superscript"/>
      <w:lang w:val="en-US" w:eastAsia="ja-JP"/>
    </w:rPr>
  </w:style>
  <w:style w:type="paragraph" w:styleId="FootnoteText">
    <w:name w:val="footnote text"/>
    <w:aliases w:val="footnotes,Footnote Text Char2 Char,Footnote Text Char Char1 Char,Footnote Text Char2 Char Char Char,Footnote Text Char1 Char Char Char Char,Footnote Text Char Char Char Char Char Char,single space,Fußnotentextf,Footnote,Fußnote,Footno,5_G"/>
    <w:basedOn w:val="Normal"/>
    <w:link w:val="FootnoteTextChar"/>
    <w:unhideWhenUsed/>
    <w:qFormat/>
    <w:rsid w:val="00970E99"/>
    <w:rPr>
      <w:sz w:val="20"/>
      <w:szCs w:val="24"/>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single space Char"/>
    <w:link w:val="FootnoteText"/>
    <w:rsid w:val="00970E99"/>
    <w:rPr>
      <w:rFonts w:ascii="Times New Roman" w:eastAsia="Times New Roman" w:hAnsi="Times New Roman" w:cs="Times New Roman"/>
      <w:sz w:val="20"/>
      <w:lang w:val="en-GB" w:eastAsia="nl-NL"/>
    </w:rPr>
  </w:style>
  <w:style w:type="character" w:customStyle="1" w:styleId="sb8d990e2">
    <w:name w:val="sb8d990e2"/>
    <w:rsid w:val="0034508C"/>
  </w:style>
  <w:style w:type="character" w:styleId="Hyperlink">
    <w:name w:val="Hyperlink"/>
    <w:rsid w:val="00665258"/>
    <w:rPr>
      <w:color w:val="0000FF"/>
      <w:u w:val="single"/>
    </w:rPr>
  </w:style>
  <w:style w:type="paragraph" w:customStyle="1" w:styleId="ColourfulListAccent11">
    <w:name w:val="Colourful List – Accent 11"/>
    <w:basedOn w:val="Normal"/>
    <w:link w:val="ColorfulList-Accent1Char"/>
    <w:uiPriority w:val="34"/>
    <w:qFormat/>
    <w:rsid w:val="00221CDA"/>
    <w:pPr>
      <w:ind w:left="720"/>
      <w:contextualSpacing/>
    </w:pPr>
  </w:style>
  <w:style w:type="paragraph" w:customStyle="1" w:styleId="JuPara">
    <w:name w:val="Ju_Para"/>
    <w:basedOn w:val="Normal"/>
    <w:link w:val="JuParaCar"/>
    <w:rsid w:val="00221CDA"/>
    <w:pPr>
      <w:ind w:firstLine="284"/>
      <w:jc w:val="both"/>
    </w:pPr>
    <w:rPr>
      <w:szCs w:val="20"/>
      <w:lang w:eastAsia="fr-FR"/>
    </w:rPr>
  </w:style>
  <w:style w:type="character" w:customStyle="1" w:styleId="JuParaCar">
    <w:name w:val="Ju_Para Car"/>
    <w:link w:val="JuPara"/>
    <w:rsid w:val="00221CDA"/>
    <w:rPr>
      <w:rFonts w:ascii="Times New Roman" w:eastAsia="Times New Roman" w:hAnsi="Times New Roman" w:cs="Times New Roman"/>
      <w:szCs w:val="20"/>
      <w:lang w:val="en-GB" w:eastAsia="fr-FR"/>
    </w:rPr>
  </w:style>
  <w:style w:type="paragraph" w:customStyle="1" w:styleId="JuQuot">
    <w:name w:val="Ju_Quot"/>
    <w:basedOn w:val="JuPara"/>
    <w:rsid w:val="00221CDA"/>
    <w:pPr>
      <w:spacing w:after="120"/>
      <w:ind w:left="425" w:firstLine="142"/>
    </w:pPr>
    <w:rPr>
      <w:sz w:val="20"/>
    </w:rPr>
  </w:style>
  <w:style w:type="paragraph" w:styleId="Footer">
    <w:name w:val="footer"/>
    <w:basedOn w:val="Normal"/>
    <w:link w:val="FooterChar"/>
    <w:unhideWhenUsed/>
    <w:rsid w:val="006E0830"/>
    <w:pPr>
      <w:tabs>
        <w:tab w:val="center" w:pos="4320"/>
        <w:tab w:val="right" w:pos="8640"/>
      </w:tabs>
    </w:pPr>
  </w:style>
  <w:style w:type="character" w:customStyle="1" w:styleId="FooterChar">
    <w:name w:val="Footer Char"/>
    <w:link w:val="Footer"/>
    <w:rsid w:val="006E0830"/>
    <w:rPr>
      <w:rFonts w:ascii="Times New Roman" w:eastAsia="Times New Roman" w:hAnsi="Times New Roman" w:cs="Times New Roman"/>
      <w:sz w:val="22"/>
      <w:szCs w:val="22"/>
      <w:lang w:val="en-GB" w:eastAsia="nl-NL"/>
    </w:rPr>
  </w:style>
  <w:style w:type="paragraph" w:customStyle="1" w:styleId="c02alineaalta">
    <w:name w:val="c02alineaalta"/>
    <w:basedOn w:val="Normal"/>
    <w:rsid w:val="006E0830"/>
    <w:pPr>
      <w:spacing w:before="100" w:beforeAutospacing="1" w:after="100" w:afterAutospacing="1"/>
    </w:pPr>
    <w:rPr>
      <w:rFonts w:ascii="Times" w:eastAsia="Cambria" w:hAnsi="Times"/>
      <w:sz w:val="20"/>
      <w:szCs w:val="20"/>
      <w:lang w:val="en-IE" w:eastAsia="en-US"/>
    </w:rPr>
  </w:style>
  <w:style w:type="character" w:customStyle="1" w:styleId="Heading1Char">
    <w:name w:val="Heading 1 Char"/>
    <w:link w:val="Heading1"/>
    <w:uiPriority w:val="1"/>
    <w:rsid w:val="00624FF9"/>
    <w:rPr>
      <w:rFonts w:eastAsia="Times New Roman" w:cs="Times New Roman"/>
      <w:b/>
      <w:bCs/>
      <w:lang w:val="en-GB" w:eastAsia="nl-NL"/>
    </w:rPr>
  </w:style>
  <w:style w:type="character" w:customStyle="1" w:styleId="Heading2Char">
    <w:name w:val="Heading 2 Char"/>
    <w:link w:val="Heading2"/>
    <w:uiPriority w:val="9"/>
    <w:rsid w:val="00D719DB"/>
    <w:rPr>
      <w:rFonts w:eastAsia="Times New Roman" w:cs="Times New Roman"/>
      <w:b/>
      <w:bCs/>
      <w:iCs/>
      <w:lang w:val="en-GB" w:eastAsia="nl-NL"/>
    </w:rPr>
  </w:style>
  <w:style w:type="character" w:customStyle="1" w:styleId="Heading3Char">
    <w:name w:val="Heading 3 Char"/>
    <w:link w:val="Heading3"/>
    <w:uiPriority w:val="9"/>
    <w:rsid w:val="00624FF9"/>
    <w:rPr>
      <w:rFonts w:eastAsia="Times New Roman" w:cs="Times New Roman"/>
      <w:b/>
      <w:bCs/>
      <w:lang w:val="en-GB" w:eastAsia="nl-NL"/>
    </w:rPr>
  </w:style>
  <w:style w:type="character" w:customStyle="1" w:styleId="Heading4Char">
    <w:name w:val="Heading 4 Char"/>
    <w:link w:val="Heading4"/>
    <w:uiPriority w:val="9"/>
    <w:rsid w:val="00624FF9"/>
    <w:rPr>
      <w:rFonts w:ascii="Calibri" w:eastAsia="Times New Roman" w:hAnsi="Calibri" w:cs="Times New Roman"/>
      <w:b/>
      <w:bCs/>
      <w:sz w:val="28"/>
      <w:szCs w:val="28"/>
      <w:lang w:eastAsia="nl-NL"/>
    </w:rPr>
  </w:style>
  <w:style w:type="character" w:customStyle="1" w:styleId="Heading5Char">
    <w:name w:val="Heading 5 Char"/>
    <w:link w:val="Heading5"/>
    <w:rsid w:val="00624FF9"/>
    <w:rPr>
      <w:rFonts w:eastAsia="Times New Roman" w:cs="Times New Roman"/>
      <w:b/>
      <w:bCs/>
      <w:i/>
      <w:iCs/>
      <w:sz w:val="26"/>
      <w:szCs w:val="26"/>
      <w:lang w:eastAsia="nl-NL"/>
    </w:rPr>
  </w:style>
  <w:style w:type="character" w:customStyle="1" w:styleId="Heading6Char">
    <w:name w:val="Heading 6 Char"/>
    <w:link w:val="Heading6"/>
    <w:uiPriority w:val="9"/>
    <w:rsid w:val="00624FF9"/>
    <w:rPr>
      <w:rFonts w:ascii="Calibri" w:eastAsia="Times New Roman" w:hAnsi="Calibri" w:cs="Times New Roman"/>
      <w:b/>
      <w:bCs/>
      <w:sz w:val="22"/>
      <w:szCs w:val="22"/>
      <w:lang w:eastAsia="nl-NL"/>
    </w:rPr>
  </w:style>
  <w:style w:type="character" w:customStyle="1" w:styleId="Heading7Char">
    <w:name w:val="Heading 7 Char"/>
    <w:link w:val="Heading7"/>
    <w:uiPriority w:val="9"/>
    <w:rsid w:val="00624FF9"/>
    <w:rPr>
      <w:rFonts w:ascii="Calibri" w:eastAsia="Times New Roman" w:hAnsi="Calibri" w:cs="Times New Roman"/>
      <w:lang w:eastAsia="nl-NL"/>
    </w:rPr>
  </w:style>
  <w:style w:type="character" w:customStyle="1" w:styleId="Heading8Char">
    <w:name w:val="Heading 8 Char"/>
    <w:link w:val="Heading8"/>
    <w:uiPriority w:val="9"/>
    <w:rsid w:val="00624FF9"/>
    <w:rPr>
      <w:rFonts w:ascii="Calibri" w:eastAsia="Times New Roman" w:hAnsi="Calibri" w:cs="Times New Roman"/>
      <w:i/>
      <w:iCs/>
      <w:lang w:eastAsia="nl-NL"/>
    </w:rPr>
  </w:style>
  <w:style w:type="character" w:customStyle="1" w:styleId="Heading9Char">
    <w:name w:val="Heading 9 Char"/>
    <w:link w:val="Heading9"/>
    <w:uiPriority w:val="9"/>
    <w:rsid w:val="00624FF9"/>
    <w:rPr>
      <w:rFonts w:ascii="Cambria" w:eastAsia="Times New Roman" w:hAnsi="Cambria" w:cs="Times New Roman"/>
      <w:sz w:val="22"/>
      <w:szCs w:val="22"/>
      <w:lang w:eastAsia="nl-NL"/>
    </w:rPr>
  </w:style>
  <w:style w:type="paragraph" w:customStyle="1" w:styleId="Default">
    <w:name w:val="Default"/>
    <w:rsid w:val="002363FE"/>
    <w:pPr>
      <w:widowControl w:val="0"/>
      <w:autoSpaceDE w:val="0"/>
      <w:autoSpaceDN w:val="0"/>
      <w:adjustRightInd w:val="0"/>
    </w:pPr>
    <w:rPr>
      <w:color w:val="000000"/>
      <w:sz w:val="24"/>
      <w:szCs w:val="24"/>
      <w:lang w:val="en-US" w:eastAsia="ja-JP"/>
    </w:rPr>
  </w:style>
  <w:style w:type="paragraph" w:customStyle="1" w:styleId="SingleTxtG">
    <w:name w:val="_ Single Txt_G"/>
    <w:basedOn w:val="Normal"/>
    <w:link w:val="SingleTxtGChar"/>
    <w:rsid w:val="00C36D40"/>
    <w:pPr>
      <w:suppressAutoHyphens/>
      <w:spacing w:after="120" w:line="240" w:lineRule="atLeast"/>
      <w:ind w:left="1134" w:right="1134"/>
      <w:jc w:val="both"/>
    </w:pPr>
    <w:rPr>
      <w:rFonts w:eastAsia="SimSun"/>
      <w:sz w:val="20"/>
      <w:szCs w:val="20"/>
      <w:lang w:eastAsia="zh-CN"/>
    </w:rPr>
  </w:style>
  <w:style w:type="character" w:customStyle="1" w:styleId="SingleTxtGChar">
    <w:name w:val="_ Single Txt_G Char"/>
    <w:link w:val="SingleTxtG"/>
    <w:rsid w:val="00C36D40"/>
    <w:rPr>
      <w:rFonts w:ascii="Times New Roman" w:eastAsia="SimSun" w:hAnsi="Times New Roman" w:cs="Times New Roman"/>
      <w:sz w:val="20"/>
      <w:szCs w:val="20"/>
      <w:lang w:val="en-GB" w:eastAsia="zh-CN"/>
    </w:rPr>
  </w:style>
  <w:style w:type="character" w:styleId="PageNumber">
    <w:name w:val="page number"/>
    <w:basedOn w:val="DefaultParagraphFont"/>
    <w:uiPriority w:val="99"/>
    <w:semiHidden/>
    <w:unhideWhenUsed/>
    <w:rsid w:val="003D14EA"/>
  </w:style>
  <w:style w:type="paragraph" w:customStyle="1" w:styleId="normal12">
    <w:name w:val="normal 12"/>
    <w:basedOn w:val="Normal"/>
    <w:qFormat/>
    <w:rsid w:val="00BD4EFD"/>
    <w:pPr>
      <w:spacing w:after="120"/>
      <w:jc w:val="both"/>
    </w:pPr>
    <w:rPr>
      <w:rFonts w:ascii="Arial" w:hAnsi="Arial"/>
      <w:szCs w:val="24"/>
    </w:rPr>
  </w:style>
  <w:style w:type="numbering" w:customStyle="1" w:styleId="List20">
    <w:name w:val="List 20"/>
    <w:basedOn w:val="NoList"/>
    <w:rsid w:val="00BD4EFD"/>
    <w:pPr>
      <w:numPr>
        <w:numId w:val="6"/>
      </w:numPr>
    </w:pPr>
  </w:style>
  <w:style w:type="paragraph" w:customStyle="1" w:styleId="Charts">
    <w:name w:val="Charts"/>
    <w:basedOn w:val="normal12"/>
    <w:qFormat/>
    <w:rsid w:val="00BD4EFD"/>
    <w:pPr>
      <w:spacing w:after="360"/>
      <w:jc w:val="center"/>
    </w:pPr>
  </w:style>
  <w:style w:type="character" w:customStyle="1" w:styleId="al-author-name">
    <w:name w:val="al-author-name"/>
    <w:basedOn w:val="DefaultParagraphFont"/>
    <w:rsid w:val="00BE7694"/>
  </w:style>
  <w:style w:type="character" w:styleId="Emphasis">
    <w:name w:val="Emphasis"/>
    <w:uiPriority w:val="20"/>
    <w:qFormat/>
    <w:rsid w:val="00BE7694"/>
    <w:rPr>
      <w:i/>
      <w:iCs/>
    </w:rPr>
  </w:style>
  <w:style w:type="paragraph" w:customStyle="1" w:styleId="MediumShading1-Accent11">
    <w:name w:val="Medium Shading 1 - Accent 11"/>
    <w:uiPriority w:val="1"/>
    <w:qFormat/>
    <w:rsid w:val="00FD6F37"/>
    <w:rPr>
      <w:rFonts w:ascii="Times New Roman" w:hAnsi="Times New Roman" w:cs="Times New Roman"/>
      <w:sz w:val="24"/>
      <w:szCs w:val="24"/>
      <w:lang w:val="es-ES_tradnl" w:eastAsia="es-ES_tradnl"/>
    </w:rPr>
  </w:style>
  <w:style w:type="character" w:customStyle="1" w:styleId="CharacterStyle2">
    <w:name w:val="Character Style 2"/>
    <w:rsid w:val="00FD6F37"/>
    <w:rPr>
      <w:sz w:val="24"/>
      <w:szCs w:val="24"/>
    </w:rPr>
  </w:style>
  <w:style w:type="paragraph" w:styleId="NormalWeb">
    <w:name w:val="Normal (Web)"/>
    <w:basedOn w:val="Normal"/>
    <w:uiPriority w:val="99"/>
    <w:unhideWhenUsed/>
    <w:rsid w:val="002D65B5"/>
    <w:pPr>
      <w:spacing w:before="100" w:beforeAutospacing="1" w:after="100" w:afterAutospacing="1"/>
    </w:pPr>
    <w:rPr>
      <w:rFonts w:ascii="Times" w:eastAsia="MS Mincho" w:hAnsi="Times"/>
      <w:sz w:val="20"/>
      <w:szCs w:val="20"/>
      <w:lang w:val="en-IE" w:eastAsia="en-US"/>
    </w:rPr>
  </w:style>
  <w:style w:type="character" w:customStyle="1" w:styleId="name">
    <w:name w:val="name"/>
    <w:basedOn w:val="DefaultParagraphFont"/>
    <w:rsid w:val="00FA4980"/>
  </w:style>
  <w:style w:type="paragraph" w:customStyle="1" w:styleId="Tables">
    <w:name w:val="Tables"/>
    <w:basedOn w:val="Normal"/>
    <w:qFormat/>
    <w:rsid w:val="001307FA"/>
    <w:rPr>
      <w:rFonts w:ascii="Arial" w:hAnsi="Arial"/>
      <w:szCs w:val="24"/>
    </w:rPr>
  </w:style>
  <w:style w:type="paragraph" w:customStyle="1" w:styleId="Tabellenkopfzeile">
    <w:name w:val="Tabellenkopfzeile"/>
    <w:basedOn w:val="Tables"/>
    <w:qFormat/>
    <w:rsid w:val="001307FA"/>
    <w:pPr>
      <w:keepNext/>
      <w:jc w:val="center"/>
    </w:pPr>
    <w:rPr>
      <w:b/>
    </w:rPr>
  </w:style>
  <w:style w:type="paragraph" w:customStyle="1" w:styleId="Tabellenunterschrift">
    <w:name w:val="Tabellenunterschrift"/>
    <w:basedOn w:val="Normal"/>
    <w:qFormat/>
    <w:rsid w:val="001307FA"/>
    <w:rPr>
      <w:rFonts w:ascii="Arial" w:hAnsi="Arial"/>
      <w:sz w:val="18"/>
      <w:szCs w:val="24"/>
    </w:rPr>
  </w:style>
  <w:style w:type="character" w:customStyle="1" w:styleId="FootnoteTextChar1">
    <w:name w:val="Footnote Text Char1"/>
    <w:aliases w:val="Footnote Text Char Char,*Footnote Text Char,Footnote reference Char,FA Fu Char,Footnote Text Char Char Char Char Char1,Footnote Char,Footnote Text Char Char1,*Footnote Text Char1,Footnote reference Char1,FA Fu Char1"/>
    <w:rsid w:val="0082685E"/>
    <w:rPr>
      <w:lang w:val="en-US"/>
    </w:rPr>
  </w:style>
  <w:style w:type="character" w:styleId="Strong">
    <w:name w:val="Strong"/>
    <w:uiPriority w:val="22"/>
    <w:qFormat/>
    <w:rsid w:val="00DF7E1F"/>
    <w:rPr>
      <w:b/>
      <w:bCs/>
    </w:rPr>
  </w:style>
  <w:style w:type="character" w:styleId="FollowedHyperlink">
    <w:name w:val="FollowedHyperlink"/>
    <w:uiPriority w:val="99"/>
    <w:semiHidden/>
    <w:unhideWhenUsed/>
    <w:rsid w:val="001C47BA"/>
    <w:rPr>
      <w:color w:val="800080"/>
      <w:u w:val="single"/>
    </w:rPr>
  </w:style>
  <w:style w:type="paragraph" w:customStyle="1" w:styleId="c01pointnumerotealtn">
    <w:name w:val="c01pointnumerotealtn"/>
    <w:basedOn w:val="Normal"/>
    <w:rsid w:val="00AF449E"/>
    <w:pPr>
      <w:spacing w:before="100" w:beforeAutospacing="1" w:after="100" w:afterAutospacing="1"/>
    </w:pPr>
    <w:rPr>
      <w:rFonts w:ascii="Times" w:eastAsia="MS Mincho" w:hAnsi="Times" w:cs="Arial"/>
      <w:sz w:val="20"/>
      <w:szCs w:val="20"/>
      <w:lang w:val="en-IE" w:eastAsia="en-US"/>
    </w:rPr>
  </w:style>
  <w:style w:type="paragraph" w:styleId="Header">
    <w:name w:val="header"/>
    <w:basedOn w:val="Normal"/>
    <w:link w:val="HeaderChar"/>
    <w:uiPriority w:val="99"/>
    <w:unhideWhenUsed/>
    <w:rsid w:val="007B74C5"/>
    <w:pPr>
      <w:tabs>
        <w:tab w:val="center" w:pos="4513"/>
        <w:tab w:val="right" w:pos="9026"/>
      </w:tabs>
    </w:pPr>
  </w:style>
  <w:style w:type="character" w:customStyle="1" w:styleId="HeaderChar">
    <w:name w:val="Header Char"/>
    <w:link w:val="Header"/>
    <w:uiPriority w:val="99"/>
    <w:rsid w:val="007B74C5"/>
    <w:rPr>
      <w:rFonts w:ascii="Times New Roman" w:eastAsia="Times New Roman" w:hAnsi="Times New Roman" w:cs="Times New Roman"/>
      <w:sz w:val="22"/>
      <w:szCs w:val="22"/>
      <w:lang w:val="en-GB" w:eastAsia="nl-NL"/>
    </w:rPr>
  </w:style>
  <w:style w:type="character" w:customStyle="1" w:styleId="UnresolvedMention1">
    <w:name w:val="Unresolved Mention1"/>
    <w:uiPriority w:val="99"/>
    <w:semiHidden/>
    <w:unhideWhenUsed/>
    <w:rsid w:val="00B71FBD"/>
    <w:rPr>
      <w:color w:val="808080"/>
      <w:shd w:val="clear" w:color="auto" w:fill="E6E6E6"/>
    </w:rPr>
  </w:style>
  <w:style w:type="table" w:styleId="TableGrid">
    <w:name w:val="Table Grid"/>
    <w:basedOn w:val="TableNormal"/>
    <w:uiPriority w:val="39"/>
    <w:rsid w:val="0090694F"/>
    <w:rPr>
      <w:rFonts w:ascii="Cambria" w:eastAsia="Cambria" w:hAnsi="Cambria" w:cs="Times New Roman"/>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46B04"/>
    <w:rPr>
      <w:color w:val="808080"/>
      <w:shd w:val="clear" w:color="auto" w:fill="E6E6E6"/>
    </w:rPr>
  </w:style>
  <w:style w:type="character" w:customStyle="1" w:styleId="apple-converted-space">
    <w:name w:val="apple-converted-space"/>
    <w:basedOn w:val="DefaultParagraphFont"/>
    <w:rsid w:val="007B0141"/>
  </w:style>
  <w:style w:type="character" w:customStyle="1" w:styleId="fontstyle01">
    <w:name w:val="fontstyle01"/>
    <w:rsid w:val="007B0141"/>
    <w:rPr>
      <w:rFonts w:ascii="TimesNewRomanPS-ItalicMT" w:hAnsi="TimesNewRomanPS-ItalicMT" w:hint="default"/>
      <w:b w:val="0"/>
      <w:bCs w:val="0"/>
      <w:i/>
      <w:iCs/>
      <w:color w:val="000000"/>
      <w:sz w:val="24"/>
      <w:szCs w:val="24"/>
    </w:rPr>
  </w:style>
  <w:style w:type="character" w:styleId="CommentReference">
    <w:name w:val="annotation reference"/>
    <w:uiPriority w:val="99"/>
    <w:semiHidden/>
    <w:unhideWhenUsed/>
    <w:rsid w:val="005A1382"/>
    <w:rPr>
      <w:sz w:val="16"/>
      <w:szCs w:val="16"/>
    </w:rPr>
  </w:style>
  <w:style w:type="paragraph" w:styleId="CommentText">
    <w:name w:val="annotation text"/>
    <w:basedOn w:val="Normal"/>
    <w:link w:val="CommentTextChar"/>
    <w:uiPriority w:val="99"/>
    <w:semiHidden/>
    <w:unhideWhenUsed/>
    <w:rsid w:val="005A1382"/>
    <w:rPr>
      <w:sz w:val="20"/>
      <w:szCs w:val="20"/>
    </w:rPr>
  </w:style>
  <w:style w:type="character" w:customStyle="1" w:styleId="CommentTextChar">
    <w:name w:val="Comment Text Char"/>
    <w:link w:val="CommentText"/>
    <w:uiPriority w:val="99"/>
    <w:semiHidden/>
    <w:rsid w:val="005A1382"/>
    <w:rPr>
      <w:rFonts w:ascii="Times New Roman" w:eastAsia="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5A1382"/>
    <w:rPr>
      <w:b/>
      <w:bCs/>
    </w:rPr>
  </w:style>
  <w:style w:type="character" w:customStyle="1" w:styleId="CommentSubjectChar">
    <w:name w:val="Comment Subject Char"/>
    <w:link w:val="CommentSubject"/>
    <w:uiPriority w:val="99"/>
    <w:semiHidden/>
    <w:rsid w:val="005A1382"/>
    <w:rPr>
      <w:rFonts w:ascii="Times New Roman" w:eastAsia="Times New Roman" w:hAnsi="Times New Roman" w:cs="Times New Roman"/>
      <w:b/>
      <w:bCs/>
      <w:sz w:val="20"/>
      <w:szCs w:val="20"/>
      <w:lang w:val="en-GB" w:eastAsia="nl-NL"/>
    </w:rPr>
  </w:style>
  <w:style w:type="character" w:customStyle="1" w:styleId="fontstyle21">
    <w:name w:val="fontstyle21"/>
    <w:rsid w:val="00B515B0"/>
    <w:rPr>
      <w:rFonts w:ascii="TimesNewRomanPS-ItalicMT" w:hAnsi="TimesNewRomanPS-ItalicMT" w:hint="default"/>
      <w:b w:val="0"/>
      <w:bCs w:val="0"/>
      <w:i/>
      <w:iCs/>
      <w:color w:val="000000"/>
      <w:sz w:val="24"/>
      <w:szCs w:val="24"/>
    </w:rPr>
  </w:style>
  <w:style w:type="paragraph" w:customStyle="1" w:styleId="ColourfulShadingAccent11">
    <w:name w:val="Colourful Shading – Accent 11"/>
    <w:hidden/>
    <w:uiPriority w:val="99"/>
    <w:semiHidden/>
    <w:rsid w:val="007D7E29"/>
    <w:rPr>
      <w:rFonts w:ascii="Times New Roman" w:eastAsia="Times New Roman" w:hAnsi="Times New Roman" w:cs="Times New Roman"/>
      <w:sz w:val="22"/>
      <w:szCs w:val="22"/>
      <w:lang w:eastAsia="nl-NL"/>
    </w:rPr>
  </w:style>
  <w:style w:type="paragraph" w:customStyle="1" w:styleId="doc-ti">
    <w:name w:val="doc-ti"/>
    <w:basedOn w:val="Normal"/>
    <w:rsid w:val="00AA223B"/>
    <w:pPr>
      <w:spacing w:before="100" w:beforeAutospacing="1" w:after="100" w:afterAutospacing="1"/>
    </w:pPr>
    <w:rPr>
      <w:rFonts w:ascii="Times" w:eastAsia="MS Mincho" w:hAnsi="Times" w:cs="Arial"/>
      <w:sz w:val="20"/>
      <w:szCs w:val="20"/>
      <w:lang w:val="en-IE" w:eastAsia="en-US"/>
    </w:rPr>
  </w:style>
  <w:style w:type="paragraph" w:customStyle="1" w:styleId="Cuerpo">
    <w:name w:val="Cuerpo"/>
    <w:rsid w:val="002820CB"/>
    <w:rPr>
      <w:rFonts w:ascii="Helvetica" w:eastAsia="Arial Unicode MS" w:hAnsi="Helvetica" w:cs="Arial Unicode MS"/>
      <w:color w:val="000000"/>
      <w:sz w:val="22"/>
      <w:szCs w:val="22"/>
      <w:lang w:val="es-ES_tradnl" w:eastAsia="en-US"/>
    </w:rPr>
  </w:style>
  <w:style w:type="character" w:customStyle="1" w:styleId="spellingerror">
    <w:name w:val="spellingerror"/>
    <w:basedOn w:val="DefaultParagraphFont"/>
    <w:rsid w:val="002820CB"/>
  </w:style>
  <w:style w:type="character" w:customStyle="1" w:styleId="normaltextrun">
    <w:name w:val="normaltextrun"/>
    <w:basedOn w:val="DefaultParagraphFont"/>
    <w:rsid w:val="002820CB"/>
  </w:style>
  <w:style w:type="paragraph" w:customStyle="1" w:styleId="Poromisin">
    <w:name w:val="Por omisión"/>
    <w:rsid w:val="002820CB"/>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s="Times New Roman"/>
      <w:lang w:val="en-IE" w:eastAsia="en-US"/>
    </w:rPr>
  </w:style>
  <w:style w:type="character" w:customStyle="1" w:styleId="FootnoteCharacters">
    <w:name w:val="Footnote Characters"/>
    <w:rsid w:val="002820CB"/>
  </w:style>
  <w:style w:type="character" w:customStyle="1" w:styleId="Funotenzeichen5">
    <w:name w:val="Fußnotenzeichen5"/>
    <w:rsid w:val="002820CB"/>
    <w:rPr>
      <w:vertAlign w:val="superscript"/>
    </w:rPr>
  </w:style>
  <w:style w:type="character" w:customStyle="1" w:styleId="Funotenzeichen1">
    <w:name w:val="Fußnotenzeichen1"/>
    <w:rsid w:val="002820CB"/>
    <w:rPr>
      <w:vertAlign w:val="superscript"/>
    </w:rPr>
  </w:style>
  <w:style w:type="character" w:customStyle="1" w:styleId="Funotenzeichen2">
    <w:name w:val="Fußnotenzeichen2"/>
    <w:rsid w:val="002820CB"/>
    <w:rPr>
      <w:vertAlign w:val="superscript"/>
    </w:rPr>
  </w:style>
  <w:style w:type="character" w:customStyle="1" w:styleId="Funotenzeichen3">
    <w:name w:val="Fußnotenzeichen3"/>
    <w:rsid w:val="002820CB"/>
    <w:rPr>
      <w:vertAlign w:val="superscript"/>
    </w:rPr>
  </w:style>
  <w:style w:type="paragraph" w:styleId="BodyText">
    <w:name w:val="Body Text"/>
    <w:basedOn w:val="Normal"/>
    <w:link w:val="BodyTextChar"/>
    <w:rsid w:val="002820CB"/>
    <w:pPr>
      <w:suppressAutoHyphens/>
      <w:spacing w:after="140" w:line="288" w:lineRule="auto"/>
    </w:pPr>
    <w:rPr>
      <w:rFonts w:ascii="Liberation Serif" w:eastAsia="SimSun" w:hAnsi="Liberation Serif" w:cs="Arial"/>
      <w:kern w:val="1"/>
      <w:szCs w:val="24"/>
      <w:lang w:val="en-US" w:eastAsia="zh-CN" w:bidi="hi-IN"/>
    </w:rPr>
  </w:style>
  <w:style w:type="character" w:customStyle="1" w:styleId="BodyTextChar">
    <w:name w:val="Body Text Char"/>
    <w:link w:val="BodyText"/>
    <w:rsid w:val="002820CB"/>
    <w:rPr>
      <w:rFonts w:ascii="Liberation Serif" w:eastAsia="SimSun" w:hAnsi="Liberation Serif"/>
      <w:kern w:val="1"/>
      <w:lang w:eastAsia="zh-CN" w:bidi="hi-IN"/>
    </w:rPr>
  </w:style>
  <w:style w:type="character" w:customStyle="1" w:styleId="Funotenzeichen4">
    <w:name w:val="Fußnotenzeichen4"/>
    <w:rsid w:val="002820CB"/>
    <w:rPr>
      <w:vertAlign w:val="superscript"/>
    </w:rPr>
  </w:style>
  <w:style w:type="character" w:customStyle="1" w:styleId="UnresolvedMention3">
    <w:name w:val="Unresolved Mention3"/>
    <w:uiPriority w:val="99"/>
    <w:semiHidden/>
    <w:unhideWhenUsed/>
    <w:rsid w:val="004D738C"/>
    <w:rPr>
      <w:color w:val="808080"/>
      <w:shd w:val="clear" w:color="auto" w:fill="E6E6E6"/>
    </w:rPr>
  </w:style>
  <w:style w:type="paragraph" w:styleId="Caption">
    <w:name w:val="caption"/>
    <w:basedOn w:val="Normal"/>
    <w:next w:val="Normal"/>
    <w:uiPriority w:val="35"/>
    <w:qFormat/>
    <w:rsid w:val="00A2655D"/>
    <w:pPr>
      <w:keepNext/>
      <w:spacing w:before="0" w:after="200" w:line="240" w:lineRule="auto"/>
    </w:pPr>
    <w:rPr>
      <w:i/>
      <w:iCs/>
      <w:color w:val="1F497D"/>
      <w:sz w:val="22"/>
      <w:szCs w:val="18"/>
    </w:rPr>
  </w:style>
  <w:style w:type="paragraph" w:customStyle="1" w:styleId="Footnoteind">
    <w:name w:val="Footnote ind"/>
    <w:basedOn w:val="FootnoteText"/>
    <w:link w:val="FootnoteindChar"/>
    <w:qFormat/>
    <w:rsid w:val="001E5006"/>
    <w:rPr>
      <w:vertAlign w:val="superscript"/>
    </w:rPr>
  </w:style>
  <w:style w:type="character" w:customStyle="1" w:styleId="FootnoteindChar">
    <w:name w:val="Footnote ind Char"/>
    <w:link w:val="Footnoteind"/>
    <w:rsid w:val="001E5006"/>
    <w:rPr>
      <w:rFonts w:ascii="Times New Roman" w:eastAsia="Times New Roman" w:hAnsi="Times New Roman" w:cs="Times New Roman"/>
      <w:sz w:val="20"/>
      <w:vertAlign w:val="superscript"/>
      <w:lang w:val="en-GB" w:eastAsia="nl-NL"/>
    </w:rPr>
  </w:style>
  <w:style w:type="paragraph" w:customStyle="1" w:styleId="GridTable31">
    <w:name w:val="Grid Table 31"/>
    <w:basedOn w:val="Heading1"/>
    <w:next w:val="Normal"/>
    <w:uiPriority w:val="39"/>
    <w:unhideWhenUsed/>
    <w:qFormat/>
    <w:rsid w:val="00F23ABB"/>
    <w:pPr>
      <w:keepLines/>
      <w:spacing w:before="240" w:after="0" w:line="259" w:lineRule="auto"/>
      <w:outlineLvl w:val="9"/>
    </w:pPr>
    <w:rPr>
      <w:rFonts w:ascii="Calibri" w:eastAsia="MS Gothic" w:hAnsi="Calibri"/>
      <w:b w:val="0"/>
      <w:bCs w:val="0"/>
      <w:color w:val="365F91"/>
      <w:sz w:val="32"/>
      <w:szCs w:val="32"/>
      <w:lang w:val="en-US" w:eastAsia="en-US"/>
    </w:rPr>
  </w:style>
  <w:style w:type="paragraph" w:styleId="TOC1">
    <w:name w:val="toc 1"/>
    <w:basedOn w:val="Normal"/>
    <w:next w:val="Normal"/>
    <w:autoRedefine/>
    <w:uiPriority w:val="39"/>
    <w:unhideWhenUsed/>
    <w:rsid w:val="00F23ABB"/>
    <w:pPr>
      <w:spacing w:after="100"/>
    </w:pPr>
  </w:style>
  <w:style w:type="paragraph" w:styleId="TOC2">
    <w:name w:val="toc 2"/>
    <w:basedOn w:val="Normal"/>
    <w:next w:val="Normal"/>
    <w:autoRedefine/>
    <w:uiPriority w:val="39"/>
    <w:unhideWhenUsed/>
    <w:rsid w:val="00F23ABB"/>
    <w:pPr>
      <w:spacing w:after="100"/>
      <w:ind w:left="240"/>
    </w:pPr>
  </w:style>
  <w:style w:type="paragraph" w:styleId="TOC3">
    <w:name w:val="toc 3"/>
    <w:basedOn w:val="Normal"/>
    <w:next w:val="Normal"/>
    <w:autoRedefine/>
    <w:uiPriority w:val="39"/>
    <w:unhideWhenUsed/>
    <w:rsid w:val="00F23ABB"/>
    <w:pPr>
      <w:spacing w:after="100"/>
      <w:ind w:left="480"/>
    </w:pPr>
  </w:style>
  <w:style w:type="paragraph" w:customStyle="1" w:styleId="ColourfulGridAccent11">
    <w:name w:val="Colourful Grid – Accent 11"/>
    <w:basedOn w:val="ColourfulListAccent11"/>
    <w:next w:val="Normal"/>
    <w:link w:val="ColorfulGrid-Accent1Char"/>
    <w:uiPriority w:val="29"/>
    <w:qFormat/>
    <w:rsid w:val="00405755"/>
    <w:pPr>
      <w:spacing w:before="0" w:after="0" w:line="240" w:lineRule="auto"/>
      <w:ind w:left="1440"/>
      <w:jc w:val="both"/>
    </w:pPr>
    <w:rPr>
      <w:rFonts w:ascii="Cambria" w:hAnsi="Cambria"/>
      <w:i/>
      <w:sz w:val="22"/>
      <w:lang w:eastAsia="en-IE"/>
    </w:rPr>
  </w:style>
  <w:style w:type="character" w:customStyle="1" w:styleId="ColorfulGrid-Accent1Char">
    <w:name w:val="Colorful Grid - Accent 1 Char"/>
    <w:link w:val="ColourfulGridAccent11"/>
    <w:uiPriority w:val="29"/>
    <w:rsid w:val="00405755"/>
    <w:rPr>
      <w:rFonts w:ascii="Cambria" w:eastAsia="Times New Roman" w:hAnsi="Cambria" w:cs="Times New Roman"/>
      <w:i/>
      <w:sz w:val="22"/>
      <w:szCs w:val="22"/>
      <w:lang w:val="en-GB" w:eastAsia="en-IE"/>
    </w:rPr>
  </w:style>
  <w:style w:type="character" w:customStyle="1" w:styleId="ColorfulList-Accent1Char">
    <w:name w:val="Colorful List - Accent 1 Char"/>
    <w:link w:val="ColourfulListAccent11"/>
    <w:uiPriority w:val="34"/>
    <w:rsid w:val="00405755"/>
    <w:rPr>
      <w:rFonts w:ascii="Times New Roman" w:eastAsia="Times New Roman" w:hAnsi="Times New Roman" w:cs="Times New Roman"/>
      <w:szCs w:val="22"/>
      <w:lang w:val="en-GB" w:eastAsia="nl-NL"/>
    </w:rPr>
  </w:style>
  <w:style w:type="paragraph" w:customStyle="1" w:styleId="MediumGrid21">
    <w:name w:val="Medium Grid 21"/>
    <w:basedOn w:val="ColourfulListAccent11"/>
    <w:uiPriority w:val="1"/>
    <w:qFormat/>
    <w:rsid w:val="00405755"/>
    <w:pPr>
      <w:numPr>
        <w:numId w:val="20"/>
      </w:numPr>
      <w:spacing w:before="0" w:after="0"/>
    </w:pPr>
    <w:rPr>
      <w:rFonts w:ascii="Cambria" w:hAnsi="Cambria" w:cs="Cambria"/>
      <w:sz w:val="22"/>
      <w:szCs w:val="24"/>
      <w:lang w:val="en-IE" w:eastAsia="en-US"/>
    </w:rPr>
  </w:style>
  <w:style w:type="paragraph" w:customStyle="1" w:styleId="HMG">
    <w:name w:val="_ H __M_G"/>
    <w:basedOn w:val="Normal"/>
    <w:next w:val="Normal"/>
    <w:rsid w:val="00E47DC4"/>
    <w:pPr>
      <w:keepNext/>
      <w:keepLines/>
      <w:tabs>
        <w:tab w:val="right" w:pos="851"/>
      </w:tabs>
      <w:suppressAutoHyphens/>
      <w:spacing w:before="240" w:line="360" w:lineRule="exact"/>
      <w:ind w:left="1134" w:right="1134" w:hanging="1134"/>
    </w:pPr>
    <w:rPr>
      <w:b/>
      <w:sz w:val="34"/>
      <w:szCs w:val="20"/>
      <w:lang w:eastAsia="en-US"/>
    </w:rPr>
  </w:style>
  <w:style w:type="paragraph" w:customStyle="1" w:styleId="H23G">
    <w:name w:val="_ H_2/3_G"/>
    <w:basedOn w:val="Normal"/>
    <w:next w:val="Normal"/>
    <w:rsid w:val="004F0C47"/>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ps">
    <w:name w:val="hps"/>
    <w:basedOn w:val="DefaultParagraphFont"/>
    <w:rsid w:val="002140E9"/>
  </w:style>
  <w:style w:type="character" w:customStyle="1" w:styleId="st">
    <w:name w:val="st"/>
    <w:basedOn w:val="DefaultParagraphFont"/>
    <w:rsid w:val="002140E9"/>
  </w:style>
  <w:style w:type="character" w:styleId="UnresolvedMention">
    <w:name w:val="Unresolved Mention"/>
    <w:uiPriority w:val="99"/>
    <w:semiHidden/>
    <w:unhideWhenUsed/>
    <w:rsid w:val="00320E15"/>
    <w:rPr>
      <w:color w:val="808080"/>
      <w:shd w:val="clear" w:color="auto" w:fill="E6E6E6"/>
    </w:rPr>
  </w:style>
  <w:style w:type="paragraph" w:styleId="DocumentMap">
    <w:name w:val="Document Map"/>
    <w:basedOn w:val="Normal"/>
    <w:link w:val="DocumentMapChar"/>
    <w:uiPriority w:val="99"/>
    <w:semiHidden/>
    <w:unhideWhenUsed/>
    <w:rsid w:val="007D4DDF"/>
    <w:rPr>
      <w:rFonts w:ascii="Lucida Grande" w:hAnsi="Lucida Grande" w:cs="Lucida Grande"/>
      <w:szCs w:val="24"/>
    </w:rPr>
  </w:style>
  <w:style w:type="character" w:customStyle="1" w:styleId="DocumentMapChar">
    <w:name w:val="Document Map Char"/>
    <w:link w:val="DocumentMap"/>
    <w:uiPriority w:val="99"/>
    <w:semiHidden/>
    <w:rsid w:val="007D4DDF"/>
    <w:rPr>
      <w:rFonts w:ascii="Lucida Grande" w:eastAsia="Times New Roman" w:hAnsi="Lucida Grande" w:cs="Lucida Grande"/>
      <w:sz w:val="24"/>
      <w:szCs w:val="24"/>
      <w:lang w:eastAsia="nl-NL"/>
    </w:rPr>
  </w:style>
  <w:style w:type="paragraph" w:styleId="ListParagraph">
    <w:name w:val="List Paragraph"/>
    <w:basedOn w:val="Normal"/>
    <w:uiPriority w:val="34"/>
    <w:qFormat/>
    <w:rsid w:val="00AF3ACC"/>
    <w:pPr>
      <w:spacing w:before="0" w:after="0" w:line="240" w:lineRule="auto"/>
      <w:ind w:left="720"/>
      <w:contextualSpacing/>
    </w:pPr>
    <w:rPr>
      <w:rFonts w:ascii="Calibri" w:eastAsia="Calibri" w:hAnsi="Calibri"/>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0601">
      <w:bodyDiv w:val="1"/>
      <w:marLeft w:val="0"/>
      <w:marRight w:val="0"/>
      <w:marTop w:val="0"/>
      <w:marBottom w:val="0"/>
      <w:divBdr>
        <w:top w:val="none" w:sz="0" w:space="0" w:color="auto"/>
        <w:left w:val="none" w:sz="0" w:space="0" w:color="auto"/>
        <w:bottom w:val="none" w:sz="0" w:space="0" w:color="auto"/>
        <w:right w:val="none" w:sz="0" w:space="0" w:color="auto"/>
      </w:divBdr>
      <w:divsChild>
        <w:div w:id="59332518">
          <w:marLeft w:val="0"/>
          <w:marRight w:val="0"/>
          <w:marTop w:val="0"/>
          <w:marBottom w:val="0"/>
          <w:divBdr>
            <w:top w:val="none" w:sz="0" w:space="0" w:color="auto"/>
            <w:left w:val="none" w:sz="0" w:space="0" w:color="auto"/>
            <w:bottom w:val="none" w:sz="0" w:space="0" w:color="auto"/>
            <w:right w:val="none" w:sz="0" w:space="0" w:color="auto"/>
          </w:divBdr>
        </w:div>
        <w:div w:id="237372837">
          <w:marLeft w:val="0"/>
          <w:marRight w:val="0"/>
          <w:marTop w:val="0"/>
          <w:marBottom w:val="0"/>
          <w:divBdr>
            <w:top w:val="none" w:sz="0" w:space="0" w:color="auto"/>
            <w:left w:val="none" w:sz="0" w:space="0" w:color="auto"/>
            <w:bottom w:val="none" w:sz="0" w:space="0" w:color="auto"/>
            <w:right w:val="none" w:sz="0" w:space="0" w:color="auto"/>
          </w:divBdr>
        </w:div>
      </w:divsChild>
    </w:div>
    <w:div w:id="81535943">
      <w:bodyDiv w:val="1"/>
      <w:marLeft w:val="0"/>
      <w:marRight w:val="0"/>
      <w:marTop w:val="0"/>
      <w:marBottom w:val="0"/>
      <w:divBdr>
        <w:top w:val="none" w:sz="0" w:space="0" w:color="auto"/>
        <w:left w:val="none" w:sz="0" w:space="0" w:color="auto"/>
        <w:bottom w:val="none" w:sz="0" w:space="0" w:color="auto"/>
        <w:right w:val="none" w:sz="0" w:space="0" w:color="auto"/>
      </w:divBdr>
      <w:divsChild>
        <w:div w:id="458304702">
          <w:marLeft w:val="0"/>
          <w:marRight w:val="0"/>
          <w:marTop w:val="0"/>
          <w:marBottom w:val="0"/>
          <w:divBdr>
            <w:top w:val="none" w:sz="0" w:space="0" w:color="auto"/>
            <w:left w:val="none" w:sz="0" w:space="0" w:color="auto"/>
            <w:bottom w:val="none" w:sz="0" w:space="0" w:color="auto"/>
            <w:right w:val="none" w:sz="0" w:space="0" w:color="auto"/>
          </w:divBdr>
          <w:divsChild>
            <w:div w:id="1295217876">
              <w:marLeft w:val="0"/>
              <w:marRight w:val="0"/>
              <w:marTop w:val="0"/>
              <w:marBottom w:val="0"/>
              <w:divBdr>
                <w:top w:val="none" w:sz="0" w:space="0" w:color="auto"/>
                <w:left w:val="none" w:sz="0" w:space="0" w:color="auto"/>
                <w:bottom w:val="none" w:sz="0" w:space="0" w:color="auto"/>
                <w:right w:val="none" w:sz="0" w:space="0" w:color="auto"/>
              </w:divBdr>
              <w:divsChild>
                <w:div w:id="2010937111">
                  <w:marLeft w:val="0"/>
                  <w:marRight w:val="0"/>
                  <w:marTop w:val="0"/>
                  <w:marBottom w:val="0"/>
                  <w:divBdr>
                    <w:top w:val="none" w:sz="0" w:space="0" w:color="auto"/>
                    <w:left w:val="none" w:sz="0" w:space="0" w:color="auto"/>
                    <w:bottom w:val="none" w:sz="0" w:space="0" w:color="auto"/>
                    <w:right w:val="none" w:sz="0" w:space="0" w:color="auto"/>
                  </w:divBdr>
                  <w:divsChild>
                    <w:div w:id="1407804323">
                      <w:marLeft w:val="0"/>
                      <w:marRight w:val="0"/>
                      <w:marTop w:val="0"/>
                      <w:marBottom w:val="0"/>
                      <w:divBdr>
                        <w:top w:val="none" w:sz="0" w:space="0" w:color="auto"/>
                        <w:left w:val="none" w:sz="0" w:space="0" w:color="auto"/>
                        <w:bottom w:val="none" w:sz="0" w:space="0" w:color="auto"/>
                        <w:right w:val="none" w:sz="0" w:space="0" w:color="auto"/>
                      </w:divBdr>
                      <w:divsChild>
                        <w:div w:id="509026862">
                          <w:marLeft w:val="0"/>
                          <w:marRight w:val="0"/>
                          <w:marTop w:val="0"/>
                          <w:marBottom w:val="0"/>
                          <w:divBdr>
                            <w:top w:val="none" w:sz="0" w:space="0" w:color="auto"/>
                            <w:left w:val="none" w:sz="0" w:space="0" w:color="auto"/>
                            <w:bottom w:val="none" w:sz="0" w:space="0" w:color="auto"/>
                            <w:right w:val="none" w:sz="0" w:space="0" w:color="auto"/>
                          </w:divBdr>
                          <w:divsChild>
                            <w:div w:id="1144422266">
                              <w:marLeft w:val="0"/>
                              <w:marRight w:val="0"/>
                              <w:marTop w:val="0"/>
                              <w:marBottom w:val="0"/>
                              <w:divBdr>
                                <w:top w:val="none" w:sz="0" w:space="0" w:color="auto"/>
                                <w:left w:val="none" w:sz="0" w:space="0" w:color="auto"/>
                                <w:bottom w:val="none" w:sz="0" w:space="0" w:color="auto"/>
                                <w:right w:val="none" w:sz="0" w:space="0" w:color="auto"/>
                              </w:divBdr>
                              <w:divsChild>
                                <w:div w:id="1987857418">
                                  <w:marLeft w:val="0"/>
                                  <w:marRight w:val="0"/>
                                  <w:marTop w:val="0"/>
                                  <w:marBottom w:val="0"/>
                                  <w:divBdr>
                                    <w:top w:val="none" w:sz="0" w:space="0" w:color="auto"/>
                                    <w:left w:val="none" w:sz="0" w:space="0" w:color="auto"/>
                                    <w:bottom w:val="none" w:sz="0" w:space="0" w:color="auto"/>
                                    <w:right w:val="none" w:sz="0" w:space="0" w:color="auto"/>
                                  </w:divBdr>
                                  <w:divsChild>
                                    <w:div w:id="1720321594">
                                      <w:marLeft w:val="0"/>
                                      <w:marRight w:val="0"/>
                                      <w:marTop w:val="0"/>
                                      <w:marBottom w:val="0"/>
                                      <w:divBdr>
                                        <w:top w:val="none" w:sz="0" w:space="0" w:color="auto"/>
                                        <w:left w:val="none" w:sz="0" w:space="0" w:color="auto"/>
                                        <w:bottom w:val="none" w:sz="0" w:space="0" w:color="auto"/>
                                        <w:right w:val="none" w:sz="0" w:space="0" w:color="auto"/>
                                      </w:divBdr>
                                      <w:divsChild>
                                        <w:div w:id="1618561208">
                                          <w:marLeft w:val="0"/>
                                          <w:marRight w:val="0"/>
                                          <w:marTop w:val="0"/>
                                          <w:marBottom w:val="0"/>
                                          <w:divBdr>
                                            <w:top w:val="none" w:sz="0" w:space="0" w:color="auto"/>
                                            <w:left w:val="none" w:sz="0" w:space="0" w:color="auto"/>
                                            <w:bottom w:val="none" w:sz="0" w:space="0" w:color="auto"/>
                                            <w:right w:val="none" w:sz="0" w:space="0" w:color="auto"/>
                                          </w:divBdr>
                                          <w:divsChild>
                                            <w:div w:id="341318694">
                                              <w:marLeft w:val="0"/>
                                              <w:marRight w:val="0"/>
                                              <w:marTop w:val="0"/>
                                              <w:marBottom w:val="0"/>
                                              <w:divBdr>
                                                <w:top w:val="none" w:sz="0" w:space="0" w:color="auto"/>
                                                <w:left w:val="none" w:sz="0" w:space="0" w:color="auto"/>
                                                <w:bottom w:val="none" w:sz="0" w:space="0" w:color="auto"/>
                                                <w:right w:val="none" w:sz="0" w:space="0" w:color="auto"/>
                                              </w:divBdr>
                                              <w:divsChild>
                                                <w:div w:id="986402825">
                                                  <w:marLeft w:val="0"/>
                                                  <w:marRight w:val="0"/>
                                                  <w:marTop w:val="0"/>
                                                  <w:marBottom w:val="0"/>
                                                  <w:divBdr>
                                                    <w:top w:val="none" w:sz="0" w:space="0" w:color="auto"/>
                                                    <w:left w:val="none" w:sz="0" w:space="0" w:color="auto"/>
                                                    <w:bottom w:val="none" w:sz="0" w:space="0" w:color="auto"/>
                                                    <w:right w:val="none" w:sz="0" w:space="0" w:color="auto"/>
                                                  </w:divBdr>
                                                  <w:divsChild>
                                                    <w:div w:id="318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03438">
          <w:marLeft w:val="0"/>
          <w:marRight w:val="0"/>
          <w:marTop w:val="0"/>
          <w:marBottom w:val="0"/>
          <w:divBdr>
            <w:top w:val="none" w:sz="0" w:space="0" w:color="auto"/>
            <w:left w:val="none" w:sz="0" w:space="0" w:color="auto"/>
            <w:bottom w:val="none" w:sz="0" w:space="0" w:color="auto"/>
            <w:right w:val="none" w:sz="0" w:space="0" w:color="auto"/>
          </w:divBdr>
          <w:divsChild>
            <w:div w:id="1806583544">
              <w:marLeft w:val="0"/>
              <w:marRight w:val="0"/>
              <w:marTop w:val="0"/>
              <w:marBottom w:val="0"/>
              <w:divBdr>
                <w:top w:val="none" w:sz="0" w:space="0" w:color="auto"/>
                <w:left w:val="none" w:sz="0" w:space="0" w:color="auto"/>
                <w:bottom w:val="none" w:sz="0" w:space="0" w:color="auto"/>
                <w:right w:val="none" w:sz="0" w:space="0" w:color="auto"/>
              </w:divBdr>
              <w:divsChild>
                <w:div w:id="629944660">
                  <w:marLeft w:val="0"/>
                  <w:marRight w:val="0"/>
                  <w:marTop w:val="0"/>
                  <w:marBottom w:val="0"/>
                  <w:divBdr>
                    <w:top w:val="none" w:sz="0" w:space="0" w:color="auto"/>
                    <w:left w:val="none" w:sz="0" w:space="0" w:color="auto"/>
                    <w:bottom w:val="none" w:sz="0" w:space="0" w:color="auto"/>
                    <w:right w:val="none" w:sz="0" w:space="0" w:color="auto"/>
                  </w:divBdr>
                  <w:divsChild>
                    <w:div w:id="761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1426">
      <w:bodyDiv w:val="1"/>
      <w:marLeft w:val="0"/>
      <w:marRight w:val="0"/>
      <w:marTop w:val="0"/>
      <w:marBottom w:val="0"/>
      <w:divBdr>
        <w:top w:val="none" w:sz="0" w:space="0" w:color="auto"/>
        <w:left w:val="none" w:sz="0" w:space="0" w:color="auto"/>
        <w:bottom w:val="none" w:sz="0" w:space="0" w:color="auto"/>
        <w:right w:val="none" w:sz="0" w:space="0" w:color="auto"/>
      </w:divBdr>
      <w:divsChild>
        <w:div w:id="1361398974">
          <w:marLeft w:val="0"/>
          <w:marRight w:val="0"/>
          <w:marTop w:val="0"/>
          <w:marBottom w:val="0"/>
          <w:divBdr>
            <w:top w:val="none" w:sz="0" w:space="0" w:color="auto"/>
            <w:left w:val="none" w:sz="0" w:space="0" w:color="auto"/>
            <w:bottom w:val="none" w:sz="0" w:space="0" w:color="auto"/>
            <w:right w:val="none" w:sz="0" w:space="0" w:color="auto"/>
          </w:divBdr>
        </w:div>
      </w:divsChild>
    </w:div>
    <w:div w:id="593174593">
      <w:bodyDiv w:val="1"/>
      <w:marLeft w:val="0"/>
      <w:marRight w:val="0"/>
      <w:marTop w:val="0"/>
      <w:marBottom w:val="0"/>
      <w:divBdr>
        <w:top w:val="none" w:sz="0" w:space="0" w:color="auto"/>
        <w:left w:val="none" w:sz="0" w:space="0" w:color="auto"/>
        <w:bottom w:val="none" w:sz="0" w:space="0" w:color="auto"/>
        <w:right w:val="none" w:sz="0" w:space="0" w:color="auto"/>
      </w:divBdr>
      <w:divsChild>
        <w:div w:id="53704325">
          <w:marLeft w:val="0"/>
          <w:marRight w:val="0"/>
          <w:marTop w:val="0"/>
          <w:marBottom w:val="0"/>
          <w:divBdr>
            <w:top w:val="none" w:sz="0" w:space="0" w:color="auto"/>
            <w:left w:val="none" w:sz="0" w:space="0" w:color="auto"/>
            <w:bottom w:val="none" w:sz="0" w:space="0" w:color="auto"/>
            <w:right w:val="none" w:sz="0" w:space="0" w:color="auto"/>
          </w:divBdr>
        </w:div>
        <w:div w:id="161547857">
          <w:marLeft w:val="0"/>
          <w:marRight w:val="0"/>
          <w:marTop w:val="0"/>
          <w:marBottom w:val="0"/>
          <w:divBdr>
            <w:top w:val="none" w:sz="0" w:space="0" w:color="auto"/>
            <w:left w:val="none" w:sz="0" w:space="0" w:color="auto"/>
            <w:bottom w:val="none" w:sz="0" w:space="0" w:color="auto"/>
            <w:right w:val="none" w:sz="0" w:space="0" w:color="auto"/>
          </w:divBdr>
        </w:div>
        <w:div w:id="617761374">
          <w:marLeft w:val="0"/>
          <w:marRight w:val="0"/>
          <w:marTop w:val="0"/>
          <w:marBottom w:val="0"/>
          <w:divBdr>
            <w:top w:val="none" w:sz="0" w:space="0" w:color="auto"/>
            <w:left w:val="none" w:sz="0" w:space="0" w:color="auto"/>
            <w:bottom w:val="none" w:sz="0" w:space="0" w:color="auto"/>
            <w:right w:val="none" w:sz="0" w:space="0" w:color="auto"/>
          </w:divBdr>
        </w:div>
        <w:div w:id="954559119">
          <w:marLeft w:val="0"/>
          <w:marRight w:val="0"/>
          <w:marTop w:val="0"/>
          <w:marBottom w:val="0"/>
          <w:divBdr>
            <w:top w:val="none" w:sz="0" w:space="0" w:color="auto"/>
            <w:left w:val="none" w:sz="0" w:space="0" w:color="auto"/>
            <w:bottom w:val="none" w:sz="0" w:space="0" w:color="auto"/>
            <w:right w:val="none" w:sz="0" w:space="0" w:color="auto"/>
          </w:divBdr>
        </w:div>
        <w:div w:id="1397388985">
          <w:marLeft w:val="0"/>
          <w:marRight w:val="0"/>
          <w:marTop w:val="0"/>
          <w:marBottom w:val="0"/>
          <w:divBdr>
            <w:top w:val="none" w:sz="0" w:space="0" w:color="auto"/>
            <w:left w:val="none" w:sz="0" w:space="0" w:color="auto"/>
            <w:bottom w:val="none" w:sz="0" w:space="0" w:color="auto"/>
            <w:right w:val="none" w:sz="0" w:space="0" w:color="auto"/>
          </w:divBdr>
        </w:div>
        <w:div w:id="1605455166">
          <w:marLeft w:val="0"/>
          <w:marRight w:val="0"/>
          <w:marTop w:val="0"/>
          <w:marBottom w:val="0"/>
          <w:divBdr>
            <w:top w:val="none" w:sz="0" w:space="0" w:color="auto"/>
            <w:left w:val="none" w:sz="0" w:space="0" w:color="auto"/>
            <w:bottom w:val="none" w:sz="0" w:space="0" w:color="auto"/>
            <w:right w:val="none" w:sz="0" w:space="0" w:color="auto"/>
          </w:divBdr>
        </w:div>
        <w:div w:id="1719743763">
          <w:marLeft w:val="0"/>
          <w:marRight w:val="0"/>
          <w:marTop w:val="0"/>
          <w:marBottom w:val="0"/>
          <w:divBdr>
            <w:top w:val="none" w:sz="0" w:space="0" w:color="auto"/>
            <w:left w:val="none" w:sz="0" w:space="0" w:color="auto"/>
            <w:bottom w:val="none" w:sz="0" w:space="0" w:color="auto"/>
            <w:right w:val="none" w:sz="0" w:space="0" w:color="auto"/>
          </w:divBdr>
        </w:div>
      </w:divsChild>
    </w:div>
    <w:div w:id="709039969">
      <w:bodyDiv w:val="1"/>
      <w:marLeft w:val="0"/>
      <w:marRight w:val="0"/>
      <w:marTop w:val="0"/>
      <w:marBottom w:val="0"/>
      <w:divBdr>
        <w:top w:val="none" w:sz="0" w:space="0" w:color="auto"/>
        <w:left w:val="none" w:sz="0" w:space="0" w:color="auto"/>
        <w:bottom w:val="none" w:sz="0" w:space="0" w:color="auto"/>
        <w:right w:val="none" w:sz="0" w:space="0" w:color="auto"/>
      </w:divBdr>
      <w:divsChild>
        <w:div w:id="177165195">
          <w:marLeft w:val="0"/>
          <w:marRight w:val="0"/>
          <w:marTop w:val="0"/>
          <w:marBottom w:val="0"/>
          <w:divBdr>
            <w:top w:val="none" w:sz="0" w:space="0" w:color="auto"/>
            <w:left w:val="none" w:sz="0" w:space="0" w:color="auto"/>
            <w:bottom w:val="none" w:sz="0" w:space="0" w:color="auto"/>
            <w:right w:val="none" w:sz="0" w:space="0" w:color="auto"/>
          </w:divBdr>
        </w:div>
        <w:div w:id="673185940">
          <w:marLeft w:val="0"/>
          <w:marRight w:val="0"/>
          <w:marTop w:val="0"/>
          <w:marBottom w:val="0"/>
          <w:divBdr>
            <w:top w:val="none" w:sz="0" w:space="0" w:color="auto"/>
            <w:left w:val="none" w:sz="0" w:space="0" w:color="auto"/>
            <w:bottom w:val="none" w:sz="0" w:space="0" w:color="auto"/>
            <w:right w:val="none" w:sz="0" w:space="0" w:color="auto"/>
          </w:divBdr>
        </w:div>
        <w:div w:id="1875341807">
          <w:marLeft w:val="0"/>
          <w:marRight w:val="0"/>
          <w:marTop w:val="0"/>
          <w:marBottom w:val="0"/>
          <w:divBdr>
            <w:top w:val="none" w:sz="0" w:space="0" w:color="auto"/>
            <w:left w:val="none" w:sz="0" w:space="0" w:color="auto"/>
            <w:bottom w:val="none" w:sz="0" w:space="0" w:color="auto"/>
            <w:right w:val="none" w:sz="0" w:space="0" w:color="auto"/>
          </w:divBdr>
        </w:div>
      </w:divsChild>
    </w:div>
    <w:div w:id="964891434">
      <w:bodyDiv w:val="1"/>
      <w:marLeft w:val="0"/>
      <w:marRight w:val="0"/>
      <w:marTop w:val="0"/>
      <w:marBottom w:val="0"/>
      <w:divBdr>
        <w:top w:val="none" w:sz="0" w:space="0" w:color="auto"/>
        <w:left w:val="none" w:sz="0" w:space="0" w:color="auto"/>
        <w:bottom w:val="none" w:sz="0" w:space="0" w:color="auto"/>
        <w:right w:val="none" w:sz="0" w:space="0" w:color="auto"/>
      </w:divBdr>
      <w:divsChild>
        <w:div w:id="333651385">
          <w:marLeft w:val="0"/>
          <w:marRight w:val="0"/>
          <w:marTop w:val="0"/>
          <w:marBottom w:val="0"/>
          <w:divBdr>
            <w:top w:val="none" w:sz="0" w:space="0" w:color="auto"/>
            <w:left w:val="none" w:sz="0" w:space="0" w:color="auto"/>
            <w:bottom w:val="none" w:sz="0" w:space="0" w:color="auto"/>
            <w:right w:val="none" w:sz="0" w:space="0" w:color="auto"/>
          </w:divBdr>
        </w:div>
        <w:div w:id="380330416">
          <w:marLeft w:val="0"/>
          <w:marRight w:val="0"/>
          <w:marTop w:val="0"/>
          <w:marBottom w:val="0"/>
          <w:divBdr>
            <w:top w:val="none" w:sz="0" w:space="0" w:color="auto"/>
            <w:left w:val="none" w:sz="0" w:space="0" w:color="auto"/>
            <w:bottom w:val="none" w:sz="0" w:space="0" w:color="auto"/>
            <w:right w:val="none" w:sz="0" w:space="0" w:color="auto"/>
          </w:divBdr>
        </w:div>
        <w:div w:id="429666713">
          <w:marLeft w:val="0"/>
          <w:marRight w:val="0"/>
          <w:marTop w:val="0"/>
          <w:marBottom w:val="0"/>
          <w:divBdr>
            <w:top w:val="none" w:sz="0" w:space="0" w:color="auto"/>
            <w:left w:val="none" w:sz="0" w:space="0" w:color="auto"/>
            <w:bottom w:val="none" w:sz="0" w:space="0" w:color="auto"/>
            <w:right w:val="none" w:sz="0" w:space="0" w:color="auto"/>
          </w:divBdr>
        </w:div>
        <w:div w:id="547641995">
          <w:marLeft w:val="0"/>
          <w:marRight w:val="0"/>
          <w:marTop w:val="0"/>
          <w:marBottom w:val="0"/>
          <w:divBdr>
            <w:top w:val="none" w:sz="0" w:space="0" w:color="auto"/>
            <w:left w:val="none" w:sz="0" w:space="0" w:color="auto"/>
            <w:bottom w:val="none" w:sz="0" w:space="0" w:color="auto"/>
            <w:right w:val="none" w:sz="0" w:space="0" w:color="auto"/>
          </w:divBdr>
        </w:div>
        <w:div w:id="928928223">
          <w:marLeft w:val="0"/>
          <w:marRight w:val="0"/>
          <w:marTop w:val="0"/>
          <w:marBottom w:val="0"/>
          <w:divBdr>
            <w:top w:val="none" w:sz="0" w:space="0" w:color="auto"/>
            <w:left w:val="none" w:sz="0" w:space="0" w:color="auto"/>
            <w:bottom w:val="none" w:sz="0" w:space="0" w:color="auto"/>
            <w:right w:val="none" w:sz="0" w:space="0" w:color="auto"/>
          </w:divBdr>
        </w:div>
        <w:div w:id="1324505267">
          <w:marLeft w:val="0"/>
          <w:marRight w:val="0"/>
          <w:marTop w:val="0"/>
          <w:marBottom w:val="0"/>
          <w:divBdr>
            <w:top w:val="none" w:sz="0" w:space="0" w:color="auto"/>
            <w:left w:val="none" w:sz="0" w:space="0" w:color="auto"/>
            <w:bottom w:val="none" w:sz="0" w:space="0" w:color="auto"/>
            <w:right w:val="none" w:sz="0" w:space="0" w:color="auto"/>
          </w:divBdr>
        </w:div>
        <w:div w:id="1503475185">
          <w:marLeft w:val="0"/>
          <w:marRight w:val="0"/>
          <w:marTop w:val="0"/>
          <w:marBottom w:val="0"/>
          <w:divBdr>
            <w:top w:val="none" w:sz="0" w:space="0" w:color="auto"/>
            <w:left w:val="none" w:sz="0" w:space="0" w:color="auto"/>
            <w:bottom w:val="none" w:sz="0" w:space="0" w:color="auto"/>
            <w:right w:val="none" w:sz="0" w:space="0" w:color="auto"/>
          </w:divBdr>
        </w:div>
        <w:div w:id="1510677457">
          <w:marLeft w:val="0"/>
          <w:marRight w:val="0"/>
          <w:marTop w:val="0"/>
          <w:marBottom w:val="0"/>
          <w:divBdr>
            <w:top w:val="none" w:sz="0" w:space="0" w:color="auto"/>
            <w:left w:val="none" w:sz="0" w:space="0" w:color="auto"/>
            <w:bottom w:val="none" w:sz="0" w:space="0" w:color="auto"/>
            <w:right w:val="none" w:sz="0" w:space="0" w:color="auto"/>
          </w:divBdr>
        </w:div>
        <w:div w:id="1603537448">
          <w:marLeft w:val="0"/>
          <w:marRight w:val="0"/>
          <w:marTop w:val="0"/>
          <w:marBottom w:val="0"/>
          <w:divBdr>
            <w:top w:val="none" w:sz="0" w:space="0" w:color="auto"/>
            <w:left w:val="none" w:sz="0" w:space="0" w:color="auto"/>
            <w:bottom w:val="none" w:sz="0" w:space="0" w:color="auto"/>
            <w:right w:val="none" w:sz="0" w:space="0" w:color="auto"/>
          </w:divBdr>
        </w:div>
        <w:div w:id="1651708199">
          <w:marLeft w:val="0"/>
          <w:marRight w:val="0"/>
          <w:marTop w:val="0"/>
          <w:marBottom w:val="0"/>
          <w:divBdr>
            <w:top w:val="none" w:sz="0" w:space="0" w:color="auto"/>
            <w:left w:val="none" w:sz="0" w:space="0" w:color="auto"/>
            <w:bottom w:val="none" w:sz="0" w:space="0" w:color="auto"/>
            <w:right w:val="none" w:sz="0" w:space="0" w:color="auto"/>
          </w:divBdr>
        </w:div>
        <w:div w:id="1887914595">
          <w:marLeft w:val="0"/>
          <w:marRight w:val="0"/>
          <w:marTop w:val="0"/>
          <w:marBottom w:val="0"/>
          <w:divBdr>
            <w:top w:val="none" w:sz="0" w:space="0" w:color="auto"/>
            <w:left w:val="none" w:sz="0" w:space="0" w:color="auto"/>
            <w:bottom w:val="none" w:sz="0" w:space="0" w:color="auto"/>
            <w:right w:val="none" w:sz="0" w:space="0" w:color="auto"/>
          </w:divBdr>
        </w:div>
        <w:div w:id="1989893317">
          <w:marLeft w:val="0"/>
          <w:marRight w:val="0"/>
          <w:marTop w:val="0"/>
          <w:marBottom w:val="0"/>
          <w:divBdr>
            <w:top w:val="none" w:sz="0" w:space="0" w:color="auto"/>
            <w:left w:val="none" w:sz="0" w:space="0" w:color="auto"/>
            <w:bottom w:val="none" w:sz="0" w:space="0" w:color="auto"/>
            <w:right w:val="none" w:sz="0" w:space="0" w:color="auto"/>
          </w:divBdr>
        </w:div>
      </w:divsChild>
    </w:div>
    <w:div w:id="1183859152">
      <w:bodyDiv w:val="1"/>
      <w:marLeft w:val="0"/>
      <w:marRight w:val="0"/>
      <w:marTop w:val="0"/>
      <w:marBottom w:val="0"/>
      <w:divBdr>
        <w:top w:val="none" w:sz="0" w:space="0" w:color="auto"/>
        <w:left w:val="none" w:sz="0" w:space="0" w:color="auto"/>
        <w:bottom w:val="none" w:sz="0" w:space="0" w:color="auto"/>
        <w:right w:val="none" w:sz="0" w:space="0" w:color="auto"/>
      </w:divBdr>
      <w:divsChild>
        <w:div w:id="941719509">
          <w:marLeft w:val="0"/>
          <w:marRight w:val="0"/>
          <w:marTop w:val="0"/>
          <w:marBottom w:val="0"/>
          <w:divBdr>
            <w:top w:val="none" w:sz="0" w:space="0" w:color="auto"/>
            <w:left w:val="none" w:sz="0" w:space="0" w:color="auto"/>
            <w:bottom w:val="none" w:sz="0" w:space="0" w:color="auto"/>
            <w:right w:val="none" w:sz="0" w:space="0" w:color="auto"/>
          </w:divBdr>
        </w:div>
        <w:div w:id="1584954218">
          <w:marLeft w:val="0"/>
          <w:marRight w:val="0"/>
          <w:marTop w:val="0"/>
          <w:marBottom w:val="0"/>
          <w:divBdr>
            <w:top w:val="none" w:sz="0" w:space="0" w:color="auto"/>
            <w:left w:val="none" w:sz="0" w:space="0" w:color="auto"/>
            <w:bottom w:val="none" w:sz="0" w:space="0" w:color="auto"/>
            <w:right w:val="none" w:sz="0" w:space="0" w:color="auto"/>
          </w:divBdr>
        </w:div>
      </w:divsChild>
    </w:div>
    <w:div w:id="1742602611">
      <w:bodyDiv w:val="1"/>
      <w:marLeft w:val="0"/>
      <w:marRight w:val="0"/>
      <w:marTop w:val="0"/>
      <w:marBottom w:val="0"/>
      <w:divBdr>
        <w:top w:val="none" w:sz="0" w:space="0" w:color="auto"/>
        <w:left w:val="none" w:sz="0" w:space="0" w:color="auto"/>
        <w:bottom w:val="none" w:sz="0" w:space="0" w:color="auto"/>
        <w:right w:val="none" w:sz="0" w:space="0" w:color="auto"/>
      </w:divBdr>
      <w:divsChild>
        <w:div w:id="297884818">
          <w:marLeft w:val="0"/>
          <w:marRight w:val="0"/>
          <w:marTop w:val="0"/>
          <w:marBottom w:val="0"/>
          <w:divBdr>
            <w:top w:val="none" w:sz="0" w:space="0" w:color="auto"/>
            <w:left w:val="none" w:sz="0" w:space="0" w:color="auto"/>
            <w:bottom w:val="none" w:sz="0" w:space="0" w:color="auto"/>
            <w:right w:val="none" w:sz="0" w:space="0" w:color="auto"/>
          </w:divBdr>
          <w:divsChild>
            <w:div w:id="1262644482">
              <w:marLeft w:val="0"/>
              <w:marRight w:val="0"/>
              <w:marTop w:val="0"/>
              <w:marBottom w:val="0"/>
              <w:divBdr>
                <w:top w:val="none" w:sz="0" w:space="0" w:color="auto"/>
                <w:left w:val="none" w:sz="0" w:space="0" w:color="auto"/>
                <w:bottom w:val="none" w:sz="0" w:space="0" w:color="auto"/>
                <w:right w:val="none" w:sz="0" w:space="0" w:color="auto"/>
              </w:divBdr>
              <w:divsChild>
                <w:div w:id="185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9831">
          <w:marLeft w:val="0"/>
          <w:marRight w:val="0"/>
          <w:marTop w:val="0"/>
          <w:marBottom w:val="0"/>
          <w:divBdr>
            <w:top w:val="none" w:sz="0" w:space="0" w:color="auto"/>
            <w:left w:val="none" w:sz="0" w:space="0" w:color="auto"/>
            <w:bottom w:val="none" w:sz="0" w:space="0" w:color="auto"/>
            <w:right w:val="none" w:sz="0" w:space="0" w:color="auto"/>
          </w:divBdr>
          <w:divsChild>
            <w:div w:id="804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7943">
      <w:bodyDiv w:val="1"/>
      <w:marLeft w:val="0"/>
      <w:marRight w:val="0"/>
      <w:marTop w:val="0"/>
      <w:marBottom w:val="0"/>
      <w:divBdr>
        <w:top w:val="none" w:sz="0" w:space="0" w:color="auto"/>
        <w:left w:val="none" w:sz="0" w:space="0" w:color="auto"/>
        <w:bottom w:val="none" w:sz="0" w:space="0" w:color="auto"/>
        <w:right w:val="none" w:sz="0" w:space="0" w:color="auto"/>
      </w:divBdr>
    </w:div>
    <w:div w:id="1962295529">
      <w:bodyDiv w:val="1"/>
      <w:marLeft w:val="0"/>
      <w:marRight w:val="0"/>
      <w:marTop w:val="0"/>
      <w:marBottom w:val="0"/>
      <w:divBdr>
        <w:top w:val="none" w:sz="0" w:space="0" w:color="auto"/>
        <w:left w:val="none" w:sz="0" w:space="0" w:color="auto"/>
        <w:bottom w:val="none" w:sz="0" w:space="0" w:color="auto"/>
        <w:right w:val="none" w:sz="0" w:space="0" w:color="auto"/>
      </w:divBdr>
      <w:divsChild>
        <w:div w:id="82998115">
          <w:marLeft w:val="0"/>
          <w:marRight w:val="0"/>
          <w:marTop w:val="0"/>
          <w:marBottom w:val="0"/>
          <w:divBdr>
            <w:top w:val="none" w:sz="0" w:space="0" w:color="auto"/>
            <w:left w:val="none" w:sz="0" w:space="0" w:color="auto"/>
            <w:bottom w:val="none" w:sz="0" w:space="0" w:color="auto"/>
            <w:right w:val="none" w:sz="0" w:space="0" w:color="auto"/>
          </w:divBdr>
        </w:div>
        <w:div w:id="166754125">
          <w:marLeft w:val="0"/>
          <w:marRight w:val="0"/>
          <w:marTop w:val="0"/>
          <w:marBottom w:val="0"/>
          <w:divBdr>
            <w:top w:val="none" w:sz="0" w:space="0" w:color="auto"/>
            <w:left w:val="none" w:sz="0" w:space="0" w:color="auto"/>
            <w:bottom w:val="none" w:sz="0" w:space="0" w:color="auto"/>
            <w:right w:val="none" w:sz="0" w:space="0" w:color="auto"/>
          </w:divBdr>
        </w:div>
        <w:div w:id="225802855">
          <w:marLeft w:val="0"/>
          <w:marRight w:val="0"/>
          <w:marTop w:val="0"/>
          <w:marBottom w:val="0"/>
          <w:divBdr>
            <w:top w:val="none" w:sz="0" w:space="0" w:color="auto"/>
            <w:left w:val="none" w:sz="0" w:space="0" w:color="auto"/>
            <w:bottom w:val="none" w:sz="0" w:space="0" w:color="auto"/>
            <w:right w:val="none" w:sz="0" w:space="0" w:color="auto"/>
          </w:divBdr>
        </w:div>
        <w:div w:id="339620392">
          <w:marLeft w:val="0"/>
          <w:marRight w:val="0"/>
          <w:marTop w:val="0"/>
          <w:marBottom w:val="0"/>
          <w:divBdr>
            <w:top w:val="none" w:sz="0" w:space="0" w:color="auto"/>
            <w:left w:val="none" w:sz="0" w:space="0" w:color="auto"/>
            <w:bottom w:val="none" w:sz="0" w:space="0" w:color="auto"/>
            <w:right w:val="none" w:sz="0" w:space="0" w:color="auto"/>
          </w:divBdr>
        </w:div>
        <w:div w:id="483743711">
          <w:marLeft w:val="0"/>
          <w:marRight w:val="0"/>
          <w:marTop w:val="0"/>
          <w:marBottom w:val="0"/>
          <w:divBdr>
            <w:top w:val="none" w:sz="0" w:space="0" w:color="auto"/>
            <w:left w:val="none" w:sz="0" w:space="0" w:color="auto"/>
            <w:bottom w:val="none" w:sz="0" w:space="0" w:color="auto"/>
            <w:right w:val="none" w:sz="0" w:space="0" w:color="auto"/>
          </w:divBdr>
        </w:div>
        <w:div w:id="512182286">
          <w:marLeft w:val="0"/>
          <w:marRight w:val="0"/>
          <w:marTop w:val="0"/>
          <w:marBottom w:val="0"/>
          <w:divBdr>
            <w:top w:val="none" w:sz="0" w:space="0" w:color="auto"/>
            <w:left w:val="none" w:sz="0" w:space="0" w:color="auto"/>
            <w:bottom w:val="none" w:sz="0" w:space="0" w:color="auto"/>
            <w:right w:val="none" w:sz="0" w:space="0" w:color="auto"/>
          </w:divBdr>
        </w:div>
        <w:div w:id="587619505">
          <w:marLeft w:val="0"/>
          <w:marRight w:val="0"/>
          <w:marTop w:val="0"/>
          <w:marBottom w:val="0"/>
          <w:divBdr>
            <w:top w:val="none" w:sz="0" w:space="0" w:color="auto"/>
            <w:left w:val="none" w:sz="0" w:space="0" w:color="auto"/>
            <w:bottom w:val="none" w:sz="0" w:space="0" w:color="auto"/>
            <w:right w:val="none" w:sz="0" w:space="0" w:color="auto"/>
          </w:divBdr>
        </w:div>
        <w:div w:id="654771207">
          <w:marLeft w:val="0"/>
          <w:marRight w:val="0"/>
          <w:marTop w:val="0"/>
          <w:marBottom w:val="0"/>
          <w:divBdr>
            <w:top w:val="none" w:sz="0" w:space="0" w:color="auto"/>
            <w:left w:val="none" w:sz="0" w:space="0" w:color="auto"/>
            <w:bottom w:val="none" w:sz="0" w:space="0" w:color="auto"/>
            <w:right w:val="none" w:sz="0" w:space="0" w:color="auto"/>
          </w:divBdr>
        </w:div>
        <w:div w:id="845901676">
          <w:marLeft w:val="0"/>
          <w:marRight w:val="0"/>
          <w:marTop w:val="0"/>
          <w:marBottom w:val="0"/>
          <w:divBdr>
            <w:top w:val="none" w:sz="0" w:space="0" w:color="auto"/>
            <w:left w:val="none" w:sz="0" w:space="0" w:color="auto"/>
            <w:bottom w:val="none" w:sz="0" w:space="0" w:color="auto"/>
            <w:right w:val="none" w:sz="0" w:space="0" w:color="auto"/>
          </w:divBdr>
        </w:div>
        <w:div w:id="1233586394">
          <w:marLeft w:val="0"/>
          <w:marRight w:val="0"/>
          <w:marTop w:val="0"/>
          <w:marBottom w:val="0"/>
          <w:divBdr>
            <w:top w:val="none" w:sz="0" w:space="0" w:color="auto"/>
            <w:left w:val="none" w:sz="0" w:space="0" w:color="auto"/>
            <w:bottom w:val="none" w:sz="0" w:space="0" w:color="auto"/>
            <w:right w:val="none" w:sz="0" w:space="0" w:color="auto"/>
          </w:divBdr>
        </w:div>
        <w:div w:id="1295718270">
          <w:marLeft w:val="0"/>
          <w:marRight w:val="0"/>
          <w:marTop w:val="0"/>
          <w:marBottom w:val="0"/>
          <w:divBdr>
            <w:top w:val="none" w:sz="0" w:space="0" w:color="auto"/>
            <w:left w:val="none" w:sz="0" w:space="0" w:color="auto"/>
            <w:bottom w:val="none" w:sz="0" w:space="0" w:color="auto"/>
            <w:right w:val="none" w:sz="0" w:space="0" w:color="auto"/>
          </w:divBdr>
        </w:div>
        <w:div w:id="1623419357">
          <w:marLeft w:val="0"/>
          <w:marRight w:val="0"/>
          <w:marTop w:val="0"/>
          <w:marBottom w:val="0"/>
          <w:divBdr>
            <w:top w:val="none" w:sz="0" w:space="0" w:color="auto"/>
            <w:left w:val="none" w:sz="0" w:space="0" w:color="auto"/>
            <w:bottom w:val="none" w:sz="0" w:space="0" w:color="auto"/>
            <w:right w:val="none" w:sz="0" w:space="0" w:color="auto"/>
          </w:divBdr>
        </w:div>
        <w:div w:id="1726373011">
          <w:marLeft w:val="0"/>
          <w:marRight w:val="0"/>
          <w:marTop w:val="0"/>
          <w:marBottom w:val="0"/>
          <w:divBdr>
            <w:top w:val="none" w:sz="0" w:space="0" w:color="auto"/>
            <w:left w:val="none" w:sz="0" w:space="0" w:color="auto"/>
            <w:bottom w:val="none" w:sz="0" w:space="0" w:color="auto"/>
            <w:right w:val="none" w:sz="0" w:space="0" w:color="auto"/>
          </w:divBdr>
        </w:div>
        <w:div w:id="1731415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CoERMPublicCommonSearchServices/DisplayDCTMContent?documentId=090000168049159f" TargetMode="External"/><Relationship Id="rId13" Type="http://schemas.openxmlformats.org/officeDocument/2006/relationships/hyperlink" Target="https://hudoc.echr.coe.int/eng" TargetMode="External"/><Relationship Id="rId3" Type="http://schemas.openxmlformats.org/officeDocument/2006/relationships/hyperlink" Target="https://scholar.harvard.edu/mdesmond/publications/who-gets-evicted-assessing-individual-neighborhood-and-network-factors" TargetMode="External"/><Relationship Id="rId7" Type="http://schemas.openxmlformats.org/officeDocument/2006/relationships/hyperlink" Target="http://www.coe.int/t/dghl/monitoring/socialcharter/Presentation/AboutCharter_en.asp" TargetMode="External"/><Relationship Id="rId12" Type="http://schemas.openxmlformats.org/officeDocument/2006/relationships/hyperlink" Target="https://papers.ssrn.com/sol3/papers.cfm?abstract_id=1372166" TargetMode="External"/><Relationship Id="rId2" Type="http://schemas.openxmlformats.org/officeDocument/2006/relationships/hyperlink" Target="http://jech.bmj.com/content/70/4/409" TargetMode="External"/><Relationship Id="rId1" Type="http://schemas.openxmlformats.org/officeDocument/2006/relationships/hyperlink" Target="http://www.ohchr.org/_layouts/15/WopiFrame.aspx?sourcedoc=/Documents/Publications/FS25.Rev.1.pdf&amp;action=default&amp;DefaultItemOpen=1" TargetMode="External"/><Relationship Id="rId6" Type="http://schemas.openxmlformats.org/officeDocument/2006/relationships/hyperlink" Target="http://www.iut.nu/aboutiut.htm" TargetMode="External"/><Relationship Id="rId11" Type="http://schemas.openxmlformats.org/officeDocument/2006/relationships/hyperlink" Target="https://ec.europa.eu/commission/sites/beta-political/files/social-summit-european-pillar-social-rights-booklet_en.pdf" TargetMode="External"/><Relationship Id="rId5" Type="http://schemas.openxmlformats.org/officeDocument/2006/relationships/hyperlink" Target="http://www.housingeurope.eu/resource-1000/the-state-of-housing-in-the-eu-2017" TargetMode="External"/><Relationship Id="rId15" Type="http://schemas.openxmlformats.org/officeDocument/2006/relationships/hyperlink" Target="http://www.europarl.europa.eu/EPRS/EPRS-AaG-542142-Open-Method-of-Coordination-FINAL.pdf" TargetMode="External"/><Relationship Id="rId10" Type="http://schemas.openxmlformats.org/officeDocument/2006/relationships/hyperlink" Target="https://www.bankingsupervision.europa.eu/about/thessm/html/index.en.html" TargetMode="External"/><Relationship Id="rId4" Type="http://schemas.openxmlformats.org/officeDocument/2006/relationships/hyperlink" Target="http://ec.europa.eu/eurostat/statistics-explained/index.php/Housing_statistics" TargetMode="External"/><Relationship Id="rId9" Type="http://schemas.openxmlformats.org/officeDocument/2006/relationships/hyperlink" Target="https://www.echr.coe.int/Documents/Guide_Art_8_ENG.pdf" TargetMode="External"/><Relationship Id="rId14" Type="http://schemas.openxmlformats.org/officeDocument/2006/relationships/hyperlink" Target="https://www.abi.it/Pagine/news/Raggiunta-intesa-su-nuova-moratoria-famigli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B517-AF7B-664F-86FB-E75C2E66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19789</Words>
  <Characters>114183</Characters>
  <Application>Microsoft Office Word</Application>
  <DocSecurity>0</DocSecurity>
  <Lines>2595</Lines>
  <Paragraphs>970</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133002</CharactersWithSpaces>
  <SharedDoc>false</SharedDoc>
  <HLinks>
    <vt:vector size="102" baseType="variant">
      <vt:variant>
        <vt:i4>7274613</vt:i4>
      </vt:variant>
      <vt:variant>
        <vt:i4>0</vt:i4>
      </vt:variant>
      <vt:variant>
        <vt:i4>0</vt:i4>
      </vt:variant>
      <vt:variant>
        <vt:i4>5</vt:i4>
      </vt:variant>
      <vt:variant>
        <vt:lpwstr>https://www.e-elgar.com/shop/loss-of-homes-and-evictions-across-europe</vt:lpwstr>
      </vt:variant>
      <vt:variant>
        <vt:lpwstr/>
      </vt:variant>
      <vt:variant>
        <vt:i4>983049</vt:i4>
      </vt:variant>
      <vt:variant>
        <vt:i4>45</vt:i4>
      </vt:variant>
      <vt:variant>
        <vt:i4>0</vt:i4>
      </vt:variant>
      <vt:variant>
        <vt:i4>5</vt:i4>
      </vt:variant>
      <vt:variant>
        <vt:lpwstr>http://www.europarl.europa.eu/EPRS/EPRS-AaG-542142-Open-Method-of-Coordination-FINAL.pdf</vt:lpwstr>
      </vt:variant>
      <vt:variant>
        <vt:lpwstr/>
      </vt:variant>
      <vt:variant>
        <vt:i4>5046352</vt:i4>
      </vt:variant>
      <vt:variant>
        <vt:i4>42</vt:i4>
      </vt:variant>
      <vt:variant>
        <vt:i4>0</vt:i4>
      </vt:variant>
      <vt:variant>
        <vt:i4>5</vt:i4>
      </vt:variant>
      <vt:variant>
        <vt:lpwstr>https://www.abi.it/Pagine/news/Raggiunta-intesa-su-nuova-moratoria-famiglie.aspx</vt:lpwstr>
      </vt:variant>
      <vt:variant>
        <vt:lpwstr/>
      </vt:variant>
      <vt:variant>
        <vt:i4>4063294</vt:i4>
      </vt:variant>
      <vt:variant>
        <vt:i4>39</vt:i4>
      </vt:variant>
      <vt:variant>
        <vt:i4>0</vt:i4>
      </vt:variant>
      <vt:variant>
        <vt:i4>5</vt:i4>
      </vt:variant>
      <vt:variant>
        <vt:lpwstr>https://hudoc.echr.coe.int/eng</vt:lpwstr>
      </vt:variant>
      <vt:variant>
        <vt:lpwstr>{"appno":["12868/87"]}</vt:lpwstr>
      </vt:variant>
      <vt:variant>
        <vt:i4>3145801</vt:i4>
      </vt:variant>
      <vt:variant>
        <vt:i4>36</vt:i4>
      </vt:variant>
      <vt:variant>
        <vt:i4>0</vt:i4>
      </vt:variant>
      <vt:variant>
        <vt:i4>5</vt:i4>
      </vt:variant>
      <vt:variant>
        <vt:lpwstr>https://papers.ssrn.com/sol3/papers.cfm?abstract_id=1372166</vt:lpwstr>
      </vt:variant>
      <vt:variant>
        <vt:lpwstr/>
      </vt:variant>
      <vt:variant>
        <vt:i4>131085</vt:i4>
      </vt:variant>
      <vt:variant>
        <vt:i4>33</vt:i4>
      </vt:variant>
      <vt:variant>
        <vt:i4>0</vt:i4>
      </vt:variant>
      <vt:variant>
        <vt:i4>5</vt:i4>
      </vt:variant>
      <vt:variant>
        <vt:lpwstr>http://www.housingeurope.eu/resource-930/housing-in-the-european-pillar-of-social-rights</vt:lpwstr>
      </vt:variant>
      <vt:variant>
        <vt:lpwstr/>
      </vt:variant>
      <vt:variant>
        <vt:i4>5963894</vt:i4>
      </vt:variant>
      <vt:variant>
        <vt:i4>30</vt:i4>
      </vt:variant>
      <vt:variant>
        <vt:i4>0</vt:i4>
      </vt:variant>
      <vt:variant>
        <vt:i4>5</vt:i4>
      </vt:variant>
      <vt:variant>
        <vt:lpwstr>https://ec.europa.eu/commission/sites/beta-political/files/social-summit-european-pillar-social-rights-booklet_en.pdf</vt:lpwstr>
      </vt:variant>
      <vt:variant>
        <vt:lpwstr/>
      </vt:variant>
      <vt:variant>
        <vt:i4>393229</vt:i4>
      </vt:variant>
      <vt:variant>
        <vt:i4>27</vt:i4>
      </vt:variant>
      <vt:variant>
        <vt:i4>0</vt:i4>
      </vt:variant>
      <vt:variant>
        <vt:i4>5</vt:i4>
      </vt:variant>
      <vt:variant>
        <vt:lpwstr>https://www.bankingsupervision.europa.eu/about/thessm/html/index.en.html</vt:lpwstr>
      </vt:variant>
      <vt:variant>
        <vt:lpwstr/>
      </vt:variant>
      <vt:variant>
        <vt:i4>6750303</vt:i4>
      </vt:variant>
      <vt:variant>
        <vt:i4>24</vt:i4>
      </vt:variant>
      <vt:variant>
        <vt:i4>0</vt:i4>
      </vt:variant>
      <vt:variant>
        <vt:i4>5</vt:i4>
      </vt:variant>
      <vt:variant>
        <vt:lpwstr>https://www.echr.coe.int/Documents/Guide_Art_8_ENG.pdf</vt:lpwstr>
      </vt:variant>
      <vt:variant>
        <vt:lpwstr/>
      </vt:variant>
      <vt:variant>
        <vt:i4>4849759</vt:i4>
      </vt:variant>
      <vt:variant>
        <vt:i4>21</vt:i4>
      </vt:variant>
      <vt:variant>
        <vt:i4>0</vt:i4>
      </vt:variant>
      <vt:variant>
        <vt:i4>5</vt:i4>
      </vt:variant>
      <vt:variant>
        <vt:lpwstr>https://rm.coe.int/CoERMPublicCommonSearchServices/DisplayDCTMContent?documentId=090000168049159f</vt:lpwstr>
      </vt:variant>
      <vt:variant>
        <vt:lpwstr/>
      </vt:variant>
      <vt:variant>
        <vt:i4>7209046</vt:i4>
      </vt:variant>
      <vt:variant>
        <vt:i4>18</vt:i4>
      </vt:variant>
      <vt:variant>
        <vt:i4>0</vt:i4>
      </vt:variant>
      <vt:variant>
        <vt:i4>5</vt:i4>
      </vt:variant>
      <vt:variant>
        <vt:lpwstr>http://www.coe.int/t/dghl/monitoring/socialcharter/Presentation/AboutCharter_en.asp</vt:lpwstr>
      </vt:variant>
      <vt:variant>
        <vt:lpwstr/>
      </vt:variant>
      <vt:variant>
        <vt:i4>2621530</vt:i4>
      </vt:variant>
      <vt:variant>
        <vt:i4>15</vt:i4>
      </vt:variant>
      <vt:variant>
        <vt:i4>0</vt:i4>
      </vt:variant>
      <vt:variant>
        <vt:i4>5</vt:i4>
      </vt:variant>
      <vt:variant>
        <vt:lpwstr>http://www.iut.nu/aboutiut.htm</vt:lpwstr>
      </vt:variant>
      <vt:variant>
        <vt:lpwstr>Tenants_Charter</vt:lpwstr>
      </vt:variant>
      <vt:variant>
        <vt:i4>5505112</vt:i4>
      </vt:variant>
      <vt:variant>
        <vt:i4>12</vt:i4>
      </vt:variant>
      <vt:variant>
        <vt:i4>0</vt:i4>
      </vt:variant>
      <vt:variant>
        <vt:i4>5</vt:i4>
      </vt:variant>
      <vt:variant>
        <vt:lpwstr>http://www.housingeurope.eu/resource-1000/the-state-of-housing-in-the-eu-2017</vt:lpwstr>
      </vt:variant>
      <vt:variant>
        <vt:lpwstr/>
      </vt:variant>
      <vt:variant>
        <vt:i4>2162790</vt:i4>
      </vt:variant>
      <vt:variant>
        <vt:i4>9</vt:i4>
      </vt:variant>
      <vt:variant>
        <vt:i4>0</vt:i4>
      </vt:variant>
      <vt:variant>
        <vt:i4>5</vt:i4>
      </vt:variant>
      <vt:variant>
        <vt:lpwstr>http://ec.europa.eu/eurostat/statistics-explained/index.php/Housing_statistics</vt:lpwstr>
      </vt:variant>
      <vt:variant>
        <vt:lpwstr>Housing_affordability</vt:lpwstr>
      </vt:variant>
      <vt:variant>
        <vt:i4>1310741</vt:i4>
      </vt:variant>
      <vt:variant>
        <vt:i4>6</vt:i4>
      </vt:variant>
      <vt:variant>
        <vt:i4>0</vt:i4>
      </vt:variant>
      <vt:variant>
        <vt:i4>5</vt:i4>
      </vt:variant>
      <vt:variant>
        <vt:lpwstr>https://scholar.harvard.edu/mdesmond/publications/who-gets-evicted-assessing-individual-neighborhood-and-network-factors</vt:lpwstr>
      </vt:variant>
      <vt:variant>
        <vt:lpwstr/>
      </vt:variant>
      <vt:variant>
        <vt:i4>6029337</vt:i4>
      </vt:variant>
      <vt:variant>
        <vt:i4>3</vt:i4>
      </vt:variant>
      <vt:variant>
        <vt:i4>0</vt:i4>
      </vt:variant>
      <vt:variant>
        <vt:i4>5</vt:i4>
      </vt:variant>
      <vt:variant>
        <vt:lpwstr>http://jech.bmj.com/content/70/4/409</vt:lpwstr>
      </vt:variant>
      <vt:variant>
        <vt:lpwstr/>
      </vt:variant>
      <vt:variant>
        <vt:i4>7929943</vt:i4>
      </vt:variant>
      <vt:variant>
        <vt:i4>0</vt:i4>
      </vt:variant>
      <vt:variant>
        <vt:i4>0</vt:i4>
      </vt:variant>
      <vt:variant>
        <vt:i4>5</vt:i4>
      </vt:variant>
      <vt:variant>
        <vt:lpwstr>http://www.ohchr.org/_layouts/15/WopiFrame.aspx?sourcedoc=/Documents/Publications/FS25.Rev.1.pdf&amp;action=default&amp;DefaultItemOpen=1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padraic kenna</dc:creator>
  <cp:keywords/>
  <cp:lastModifiedBy>Kenna, Padraic</cp:lastModifiedBy>
  <cp:revision>2</cp:revision>
  <cp:lastPrinted>2018-04-24T08:09:00Z</cp:lastPrinted>
  <dcterms:created xsi:type="dcterms:W3CDTF">2021-02-02T17:17:00Z</dcterms:created>
  <dcterms:modified xsi:type="dcterms:W3CDTF">2021-02-02T17:17:00Z</dcterms:modified>
</cp:coreProperties>
</file>