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67" w:rsidRPr="00577B84" w:rsidRDefault="007C0A98" w:rsidP="00577B84">
      <w:pPr>
        <w:jc w:val="center"/>
        <w:rPr>
          <w:b/>
          <w:sz w:val="28"/>
          <w:szCs w:val="28"/>
        </w:rPr>
      </w:pPr>
      <w:r>
        <w:rPr>
          <w:b/>
          <w:sz w:val="28"/>
          <w:szCs w:val="28"/>
        </w:rPr>
        <w:t>Competency Framework for Senior Lecturer Roles at NUIG</w:t>
      </w:r>
    </w:p>
    <w:tbl>
      <w:tblPr>
        <w:tblStyle w:val="TableGrid"/>
        <w:tblW w:w="13158" w:type="dxa"/>
        <w:jc w:val="center"/>
        <w:tblLayout w:type="fixed"/>
        <w:tblLook w:val="04A0"/>
      </w:tblPr>
      <w:tblGrid>
        <w:gridCol w:w="648"/>
        <w:gridCol w:w="3423"/>
        <w:gridCol w:w="537"/>
        <w:gridCol w:w="4254"/>
        <w:gridCol w:w="606"/>
        <w:gridCol w:w="3690"/>
      </w:tblGrid>
      <w:tr w:rsidR="004142B2" w:rsidTr="004142B2">
        <w:trPr>
          <w:jc w:val="center"/>
        </w:trPr>
        <w:tc>
          <w:tcPr>
            <w:tcW w:w="648" w:type="dxa"/>
            <w:tcBorders>
              <w:bottom w:val="single" w:sz="4" w:space="0" w:color="auto"/>
            </w:tcBorders>
          </w:tcPr>
          <w:p w:rsidR="00577B84" w:rsidRPr="00577B84" w:rsidRDefault="00577B84" w:rsidP="00F94167">
            <w:pPr>
              <w:rPr>
                <w:b/>
              </w:rPr>
            </w:pPr>
          </w:p>
        </w:tc>
        <w:tc>
          <w:tcPr>
            <w:tcW w:w="3423" w:type="dxa"/>
            <w:tcBorders>
              <w:bottom w:val="single" w:sz="4" w:space="0" w:color="auto"/>
            </w:tcBorders>
          </w:tcPr>
          <w:p w:rsidR="00577B84" w:rsidRPr="00A011B6" w:rsidRDefault="00577B84" w:rsidP="00F94167">
            <w:pPr>
              <w:jc w:val="center"/>
              <w:rPr>
                <w:rFonts w:ascii="Arial" w:hAnsi="Arial" w:cs="Arial"/>
                <w:b/>
                <w:sz w:val="20"/>
                <w:szCs w:val="20"/>
              </w:rPr>
            </w:pPr>
            <w:r w:rsidRPr="00A011B6">
              <w:rPr>
                <w:rFonts w:ascii="Arial" w:hAnsi="Arial" w:cs="Arial"/>
                <w:b/>
                <w:sz w:val="20"/>
                <w:szCs w:val="20"/>
              </w:rPr>
              <w:t>Academic Excellence</w:t>
            </w:r>
          </w:p>
        </w:tc>
        <w:tc>
          <w:tcPr>
            <w:tcW w:w="537" w:type="dxa"/>
            <w:tcBorders>
              <w:bottom w:val="single" w:sz="4" w:space="0" w:color="auto"/>
            </w:tcBorders>
          </w:tcPr>
          <w:p w:rsidR="00577B84" w:rsidRDefault="00577B84" w:rsidP="00F94167"/>
        </w:tc>
        <w:tc>
          <w:tcPr>
            <w:tcW w:w="4254" w:type="dxa"/>
            <w:tcBorders>
              <w:bottom w:val="single" w:sz="4" w:space="0" w:color="auto"/>
            </w:tcBorders>
          </w:tcPr>
          <w:p w:rsidR="00577B84" w:rsidRPr="00A011B6" w:rsidRDefault="00577B84" w:rsidP="00F94167">
            <w:pPr>
              <w:jc w:val="center"/>
              <w:rPr>
                <w:rFonts w:ascii="Arial" w:hAnsi="Arial" w:cs="Arial"/>
                <w:b/>
                <w:sz w:val="20"/>
                <w:szCs w:val="20"/>
              </w:rPr>
            </w:pPr>
            <w:r w:rsidRPr="00A011B6">
              <w:rPr>
                <w:rFonts w:ascii="Arial" w:hAnsi="Arial" w:cs="Arial"/>
                <w:b/>
                <w:sz w:val="20"/>
                <w:szCs w:val="20"/>
              </w:rPr>
              <w:t>Leadership Excellence</w:t>
            </w:r>
          </w:p>
        </w:tc>
        <w:tc>
          <w:tcPr>
            <w:tcW w:w="606" w:type="dxa"/>
            <w:tcBorders>
              <w:bottom w:val="single" w:sz="4" w:space="0" w:color="auto"/>
            </w:tcBorders>
          </w:tcPr>
          <w:p w:rsidR="00577B84" w:rsidRDefault="00577B84" w:rsidP="00F94167"/>
        </w:tc>
        <w:tc>
          <w:tcPr>
            <w:tcW w:w="3690" w:type="dxa"/>
            <w:tcBorders>
              <w:bottom w:val="single" w:sz="4" w:space="0" w:color="auto"/>
            </w:tcBorders>
          </w:tcPr>
          <w:p w:rsidR="00577B84" w:rsidRPr="00A011B6" w:rsidRDefault="00577B84" w:rsidP="00F94167">
            <w:pPr>
              <w:jc w:val="center"/>
              <w:rPr>
                <w:rFonts w:ascii="Arial" w:hAnsi="Arial" w:cs="Arial"/>
                <w:b/>
                <w:sz w:val="20"/>
                <w:szCs w:val="20"/>
              </w:rPr>
            </w:pPr>
            <w:r>
              <w:rPr>
                <w:rFonts w:ascii="Arial" w:hAnsi="Arial" w:cs="Arial"/>
                <w:b/>
                <w:sz w:val="20"/>
                <w:szCs w:val="20"/>
              </w:rPr>
              <w:t xml:space="preserve">Organisational </w:t>
            </w:r>
            <w:r w:rsidRPr="00A011B6">
              <w:rPr>
                <w:rFonts w:ascii="Arial" w:hAnsi="Arial" w:cs="Arial"/>
                <w:b/>
                <w:sz w:val="20"/>
                <w:szCs w:val="20"/>
              </w:rPr>
              <w:t xml:space="preserve"> Excellence</w:t>
            </w:r>
          </w:p>
        </w:tc>
      </w:tr>
      <w:tr w:rsidR="004142B2" w:rsidTr="004142B2">
        <w:trPr>
          <w:cantSplit/>
          <w:trHeight w:val="1134"/>
          <w:jc w:val="center"/>
        </w:trPr>
        <w:tc>
          <w:tcPr>
            <w:tcW w:w="648" w:type="dxa"/>
            <w:shd w:val="clear" w:color="auto" w:fill="8DB3E2" w:themeFill="text2" w:themeFillTint="66"/>
            <w:textDirection w:val="btLr"/>
          </w:tcPr>
          <w:p w:rsidR="00577B84" w:rsidRPr="00577B84" w:rsidRDefault="00577B84" w:rsidP="00F94167">
            <w:pPr>
              <w:ind w:left="113" w:right="113"/>
              <w:jc w:val="center"/>
              <w:rPr>
                <w:b/>
                <w:sz w:val="24"/>
                <w:szCs w:val="24"/>
              </w:rPr>
            </w:pPr>
            <w:r w:rsidRPr="00577B84">
              <w:rPr>
                <w:b/>
                <w:sz w:val="24"/>
                <w:szCs w:val="24"/>
              </w:rPr>
              <w:t>CORE</w:t>
            </w:r>
          </w:p>
        </w:tc>
        <w:tc>
          <w:tcPr>
            <w:tcW w:w="3423" w:type="dxa"/>
            <w:shd w:val="clear" w:color="auto" w:fill="8DB3E2" w:themeFill="text2" w:themeFillTint="66"/>
          </w:tcPr>
          <w:p w:rsidR="00577B84" w:rsidRPr="00A011B6" w:rsidRDefault="00577B84" w:rsidP="00F94167">
            <w:pPr>
              <w:numPr>
                <w:ilvl w:val="0"/>
                <w:numId w:val="1"/>
              </w:numPr>
              <w:rPr>
                <w:rFonts w:ascii="Arial" w:hAnsi="Arial" w:cs="Arial"/>
                <w:b/>
                <w:sz w:val="20"/>
                <w:szCs w:val="20"/>
              </w:rPr>
            </w:pPr>
            <w:r w:rsidRPr="00A011B6">
              <w:rPr>
                <w:rFonts w:ascii="Arial" w:hAnsi="Arial" w:cs="Arial"/>
                <w:b/>
                <w:sz w:val="20"/>
                <w:szCs w:val="20"/>
              </w:rPr>
              <w:t>Excellence in Research</w:t>
            </w:r>
          </w:p>
          <w:p w:rsidR="00577B84" w:rsidRPr="00FE276E" w:rsidRDefault="00577B84" w:rsidP="00F94167">
            <w:pPr>
              <w:ind w:left="360"/>
              <w:rPr>
                <w:rFonts w:ascii="Arial" w:hAnsi="Arial" w:cs="Arial"/>
                <w:sz w:val="16"/>
                <w:szCs w:val="16"/>
              </w:rPr>
            </w:pPr>
          </w:p>
          <w:p w:rsidR="00577B84" w:rsidRPr="004142B2" w:rsidRDefault="00577B84" w:rsidP="004142B2">
            <w:pPr>
              <w:jc w:val="both"/>
              <w:rPr>
                <w:rFonts w:ascii="Arial" w:hAnsi="Arial" w:cs="Arial"/>
                <w:i/>
                <w:sz w:val="20"/>
                <w:szCs w:val="20"/>
              </w:rPr>
            </w:pPr>
            <w:r w:rsidRPr="009B1F95">
              <w:rPr>
                <w:rFonts w:ascii="Arial" w:hAnsi="Arial" w:cs="Arial"/>
                <w:i/>
                <w:sz w:val="20"/>
                <w:szCs w:val="20"/>
              </w:rPr>
              <w:t>The Senior</w:t>
            </w:r>
            <w:r>
              <w:rPr>
                <w:rFonts w:ascii="Arial" w:hAnsi="Arial" w:cs="Arial"/>
                <w:i/>
                <w:sz w:val="20"/>
                <w:szCs w:val="20"/>
              </w:rPr>
              <w:t xml:space="preserve"> </w:t>
            </w:r>
            <w:r w:rsidRPr="009B1F95">
              <w:rPr>
                <w:rFonts w:ascii="Arial" w:hAnsi="Arial" w:cs="Arial"/>
                <w:i/>
                <w:sz w:val="20"/>
                <w:szCs w:val="20"/>
              </w:rPr>
              <w:t xml:space="preserve">Lecturer furthers their discipline and contributes to the body of knowledge in their area through planning, carrying out and publishing/ disseminating their own high quality research, building and leading research groups and providing supervision and support for postgraduate students to enable them to produce quality research.  They keep up to date with relevant developments in their field and network and collaborate with others, both internally and externally, to optimise the value and relevance of the research being produced and to maximise the School’s/Discipline’s ability to attract research funding. </w:t>
            </w:r>
          </w:p>
          <w:p w:rsidR="00577B84" w:rsidRPr="00A011B6" w:rsidRDefault="00577B84" w:rsidP="00F94167">
            <w:pPr>
              <w:rPr>
                <w:rFonts w:ascii="Arial" w:hAnsi="Arial" w:cs="Arial"/>
                <w:sz w:val="20"/>
                <w:szCs w:val="20"/>
              </w:rPr>
            </w:pPr>
          </w:p>
        </w:tc>
        <w:tc>
          <w:tcPr>
            <w:tcW w:w="537" w:type="dxa"/>
            <w:tcBorders>
              <w:bottom w:val="single" w:sz="4" w:space="0" w:color="auto"/>
            </w:tcBorders>
            <w:shd w:val="clear" w:color="auto" w:fill="8DB3E2" w:themeFill="text2" w:themeFillTint="66"/>
            <w:textDirection w:val="btLr"/>
          </w:tcPr>
          <w:p w:rsidR="00577B84" w:rsidRPr="00577B84" w:rsidRDefault="00577B84" w:rsidP="00F94167">
            <w:pPr>
              <w:ind w:left="113" w:right="113"/>
              <w:jc w:val="center"/>
              <w:rPr>
                <w:b/>
                <w:sz w:val="24"/>
                <w:szCs w:val="24"/>
              </w:rPr>
            </w:pPr>
            <w:r w:rsidRPr="00577B84">
              <w:rPr>
                <w:b/>
                <w:sz w:val="24"/>
                <w:szCs w:val="24"/>
              </w:rPr>
              <w:t>CORE</w:t>
            </w:r>
          </w:p>
        </w:tc>
        <w:tc>
          <w:tcPr>
            <w:tcW w:w="4254" w:type="dxa"/>
            <w:tcBorders>
              <w:bottom w:val="single" w:sz="4" w:space="0" w:color="auto"/>
            </w:tcBorders>
            <w:shd w:val="clear" w:color="auto" w:fill="8DB3E2" w:themeFill="text2" w:themeFillTint="66"/>
          </w:tcPr>
          <w:p w:rsidR="00577B84" w:rsidRDefault="00577B84" w:rsidP="00F94167">
            <w:pPr>
              <w:pStyle w:val="BodyText"/>
              <w:numPr>
                <w:ilvl w:val="0"/>
                <w:numId w:val="2"/>
              </w:numPr>
              <w:ind w:right="0"/>
              <w:jc w:val="left"/>
              <w:rPr>
                <w:rFonts w:ascii="Arial" w:hAnsi="Arial" w:cs="Arial"/>
                <w:i w:val="0"/>
                <w:sz w:val="20"/>
                <w:szCs w:val="20"/>
                <w:lang w:val="en-IE"/>
              </w:rPr>
            </w:pPr>
            <w:r w:rsidRPr="00062589">
              <w:rPr>
                <w:rFonts w:ascii="Arial" w:hAnsi="Arial" w:cs="Arial"/>
                <w:i w:val="0"/>
                <w:sz w:val="20"/>
                <w:szCs w:val="20"/>
                <w:lang w:val="en-IE"/>
              </w:rPr>
              <w:t>Personal Effectiveness</w:t>
            </w:r>
          </w:p>
          <w:p w:rsidR="00577B84" w:rsidRPr="009B1455" w:rsidRDefault="00577B84" w:rsidP="00F94167">
            <w:pPr>
              <w:jc w:val="both"/>
              <w:rPr>
                <w:rFonts w:ascii="Arial" w:hAnsi="Arial" w:cs="Arial"/>
                <w:i/>
                <w:sz w:val="20"/>
                <w:szCs w:val="20"/>
              </w:rPr>
            </w:pPr>
            <w:r w:rsidRPr="009B1455">
              <w:rPr>
                <w:rFonts w:ascii="Arial" w:hAnsi="Arial" w:cs="Arial"/>
                <w:i/>
                <w:sz w:val="20"/>
                <w:szCs w:val="20"/>
              </w:rPr>
              <w:t>The Senior Lecturer is enthusiastic about their discipline and is committed to making their best personal contribution through employing excellent planning and organising, communication and decision making skills to achieve their goals and through working hard and being flexible in order to meet the multiple and changing</w:t>
            </w:r>
            <w:r w:rsidR="0015043E">
              <w:rPr>
                <w:rFonts w:ascii="Arial" w:hAnsi="Arial" w:cs="Arial"/>
                <w:i/>
                <w:sz w:val="20"/>
                <w:szCs w:val="20"/>
              </w:rPr>
              <w:t xml:space="preserve"> demands of the </w:t>
            </w:r>
            <w:r>
              <w:rPr>
                <w:rFonts w:ascii="Arial" w:hAnsi="Arial" w:cs="Arial"/>
                <w:i/>
                <w:sz w:val="20"/>
                <w:szCs w:val="20"/>
              </w:rPr>
              <w:t xml:space="preserve">Senior </w:t>
            </w:r>
            <w:r w:rsidRPr="009B1455">
              <w:rPr>
                <w:rFonts w:ascii="Arial" w:hAnsi="Arial" w:cs="Arial"/>
                <w:i/>
                <w:sz w:val="20"/>
                <w:szCs w:val="20"/>
              </w:rPr>
              <w:t xml:space="preserve">Lecturer role. </w:t>
            </w:r>
          </w:p>
          <w:p w:rsidR="00577B84" w:rsidRPr="00A011B6" w:rsidRDefault="00577B84" w:rsidP="00F94167">
            <w:pPr>
              <w:rPr>
                <w:rFonts w:ascii="Arial" w:hAnsi="Arial" w:cs="Arial"/>
                <w:sz w:val="20"/>
                <w:szCs w:val="20"/>
              </w:rPr>
            </w:pPr>
          </w:p>
        </w:tc>
        <w:tc>
          <w:tcPr>
            <w:tcW w:w="606" w:type="dxa"/>
            <w:tcBorders>
              <w:bottom w:val="single" w:sz="4" w:space="0" w:color="auto"/>
            </w:tcBorders>
            <w:shd w:val="clear" w:color="auto" w:fill="D6E3BC" w:themeFill="accent3" w:themeFillTint="66"/>
            <w:textDirection w:val="btLr"/>
          </w:tcPr>
          <w:p w:rsidR="00577B84" w:rsidRDefault="00577B84" w:rsidP="00F94167">
            <w:pPr>
              <w:ind w:left="113" w:right="113"/>
              <w:jc w:val="center"/>
            </w:pPr>
            <w:r w:rsidRPr="00577B84">
              <w:rPr>
                <w:b/>
                <w:sz w:val="24"/>
                <w:szCs w:val="24"/>
              </w:rPr>
              <w:t>DEVELOPING</w:t>
            </w:r>
          </w:p>
        </w:tc>
        <w:tc>
          <w:tcPr>
            <w:tcW w:w="3690" w:type="dxa"/>
            <w:tcBorders>
              <w:bottom w:val="single" w:sz="4" w:space="0" w:color="auto"/>
            </w:tcBorders>
            <w:shd w:val="clear" w:color="auto" w:fill="D6E3BC" w:themeFill="accent3" w:themeFillTint="66"/>
          </w:tcPr>
          <w:p w:rsidR="00577B84" w:rsidRPr="00062589" w:rsidRDefault="00577B84" w:rsidP="00F94167">
            <w:pPr>
              <w:pStyle w:val="BodyText"/>
              <w:numPr>
                <w:ilvl w:val="0"/>
                <w:numId w:val="3"/>
              </w:numPr>
              <w:ind w:right="0"/>
              <w:jc w:val="left"/>
              <w:rPr>
                <w:rFonts w:ascii="Arial" w:hAnsi="Arial" w:cs="Arial"/>
                <w:i w:val="0"/>
                <w:sz w:val="20"/>
                <w:szCs w:val="20"/>
                <w:lang w:val="en-IE"/>
              </w:rPr>
            </w:pPr>
            <w:r>
              <w:rPr>
                <w:rFonts w:ascii="Arial" w:hAnsi="Arial" w:cs="Arial"/>
                <w:i w:val="0"/>
                <w:sz w:val="20"/>
                <w:szCs w:val="20"/>
                <w:lang w:val="en-IE"/>
              </w:rPr>
              <w:t>Strategy &amp; Vision</w:t>
            </w:r>
          </w:p>
          <w:p w:rsidR="00577B84" w:rsidRPr="00FE276E" w:rsidRDefault="00577B84" w:rsidP="00F94167">
            <w:pPr>
              <w:jc w:val="both"/>
              <w:rPr>
                <w:rFonts w:ascii="Arial" w:hAnsi="Arial" w:cs="Arial"/>
                <w:sz w:val="16"/>
                <w:szCs w:val="16"/>
              </w:rPr>
            </w:pPr>
          </w:p>
          <w:p w:rsidR="00577B84" w:rsidRPr="004B7CEE" w:rsidRDefault="00577B84" w:rsidP="00F94167">
            <w:pPr>
              <w:jc w:val="both"/>
              <w:rPr>
                <w:rFonts w:ascii="Arial" w:hAnsi="Arial" w:cs="Arial"/>
                <w:i/>
                <w:sz w:val="20"/>
                <w:szCs w:val="20"/>
              </w:rPr>
            </w:pPr>
            <w:r w:rsidRPr="004B7CEE">
              <w:rPr>
                <w:rFonts w:ascii="Arial" w:hAnsi="Arial" w:cs="Arial"/>
                <w:i/>
                <w:sz w:val="20"/>
                <w:szCs w:val="20"/>
              </w:rPr>
              <w:t>The Senior lecturer should contribute to the strategic development of the discipline by developing a strong awareness of the wider environment, how the discipline is developing and how the School/Discipline can develop in the long term to optimise its contribution. He /She must have the ability to make a strong case for the development of new programmes or engaging in joint programmes or collaborations that they feel will add long term value to the</w:t>
            </w:r>
            <w:r w:rsidRPr="00B73064">
              <w:rPr>
                <w:rFonts w:cstheme="minorHAnsi"/>
                <w:i/>
              </w:rPr>
              <w:t xml:space="preserve"> </w:t>
            </w:r>
            <w:r w:rsidRPr="004B7CEE">
              <w:rPr>
                <w:rFonts w:ascii="Arial" w:hAnsi="Arial" w:cs="Arial"/>
                <w:i/>
                <w:sz w:val="20"/>
                <w:szCs w:val="20"/>
              </w:rPr>
              <w:t>School/Discipline.</w:t>
            </w:r>
          </w:p>
          <w:p w:rsidR="00577B84" w:rsidRPr="00A011B6" w:rsidRDefault="00577B84" w:rsidP="00F94167">
            <w:pPr>
              <w:rPr>
                <w:rFonts w:ascii="Arial" w:hAnsi="Arial" w:cs="Arial"/>
                <w:sz w:val="20"/>
                <w:szCs w:val="20"/>
              </w:rPr>
            </w:pPr>
          </w:p>
        </w:tc>
      </w:tr>
      <w:tr w:rsidR="004142B2" w:rsidTr="004142B2">
        <w:trPr>
          <w:cantSplit/>
          <w:trHeight w:val="1134"/>
          <w:jc w:val="center"/>
        </w:trPr>
        <w:tc>
          <w:tcPr>
            <w:tcW w:w="648" w:type="dxa"/>
            <w:shd w:val="clear" w:color="auto" w:fill="8DB3E2" w:themeFill="text2" w:themeFillTint="66"/>
            <w:textDirection w:val="btLr"/>
          </w:tcPr>
          <w:p w:rsidR="00577B84" w:rsidRPr="00577B84" w:rsidRDefault="00577B84" w:rsidP="00F94167">
            <w:pPr>
              <w:ind w:left="113" w:right="113"/>
              <w:jc w:val="center"/>
              <w:rPr>
                <w:b/>
              </w:rPr>
            </w:pPr>
            <w:r w:rsidRPr="00577B84">
              <w:rPr>
                <w:b/>
                <w:sz w:val="24"/>
                <w:szCs w:val="24"/>
              </w:rPr>
              <w:t>CORE</w:t>
            </w:r>
          </w:p>
        </w:tc>
        <w:tc>
          <w:tcPr>
            <w:tcW w:w="3423" w:type="dxa"/>
            <w:shd w:val="clear" w:color="auto" w:fill="8DB3E2" w:themeFill="text2" w:themeFillTint="66"/>
          </w:tcPr>
          <w:p w:rsidR="00577B84" w:rsidRPr="00A011B6" w:rsidRDefault="00577B84" w:rsidP="00F94167">
            <w:pPr>
              <w:numPr>
                <w:ilvl w:val="0"/>
                <w:numId w:val="1"/>
              </w:numPr>
              <w:rPr>
                <w:rFonts w:ascii="Arial" w:hAnsi="Arial" w:cs="Arial"/>
                <w:b/>
                <w:sz w:val="20"/>
                <w:szCs w:val="20"/>
              </w:rPr>
            </w:pPr>
            <w:r w:rsidRPr="00A011B6">
              <w:rPr>
                <w:rFonts w:ascii="Arial" w:hAnsi="Arial" w:cs="Arial"/>
                <w:b/>
                <w:sz w:val="20"/>
                <w:szCs w:val="20"/>
              </w:rPr>
              <w:t>Excellence in Teaching</w:t>
            </w:r>
          </w:p>
          <w:p w:rsidR="00577B84" w:rsidRPr="00FE276E" w:rsidRDefault="00577B84" w:rsidP="00F94167">
            <w:pPr>
              <w:ind w:left="360"/>
              <w:rPr>
                <w:rFonts w:ascii="Arial" w:hAnsi="Arial" w:cs="Arial"/>
                <w:b/>
                <w:sz w:val="16"/>
                <w:szCs w:val="16"/>
              </w:rPr>
            </w:pPr>
          </w:p>
          <w:p w:rsidR="00577B84" w:rsidRPr="009B1455" w:rsidRDefault="00577B84" w:rsidP="00F94167">
            <w:pPr>
              <w:jc w:val="both"/>
              <w:rPr>
                <w:rFonts w:ascii="Arial" w:hAnsi="Arial" w:cs="Arial"/>
                <w:i/>
                <w:sz w:val="20"/>
                <w:szCs w:val="20"/>
              </w:rPr>
            </w:pPr>
            <w:r w:rsidRPr="009B1455">
              <w:rPr>
                <w:rFonts w:ascii="Arial" w:hAnsi="Arial" w:cs="Arial"/>
                <w:i/>
                <w:sz w:val="20"/>
                <w:szCs w:val="20"/>
              </w:rPr>
              <w:t xml:space="preserve">The Senior Lecturer develops and delivers quality teaching programmes which engage and inspire students at all levels and maximises their learning. They are confident in using a range of teaching techniques, are open to innovations in teaching and are focused on continually developing their own teaching skills.  </w:t>
            </w:r>
          </w:p>
          <w:p w:rsidR="00577B84" w:rsidRPr="00A011B6" w:rsidRDefault="00577B84" w:rsidP="00F94167">
            <w:pPr>
              <w:rPr>
                <w:rFonts w:ascii="Arial" w:hAnsi="Arial" w:cs="Arial"/>
                <w:b/>
                <w:sz w:val="20"/>
                <w:szCs w:val="20"/>
              </w:rPr>
            </w:pPr>
          </w:p>
        </w:tc>
        <w:tc>
          <w:tcPr>
            <w:tcW w:w="537" w:type="dxa"/>
            <w:shd w:val="clear" w:color="auto" w:fill="D6E3BC" w:themeFill="accent3" w:themeFillTint="66"/>
            <w:textDirection w:val="btLr"/>
          </w:tcPr>
          <w:p w:rsidR="00577B84" w:rsidRPr="00577B84" w:rsidRDefault="00577B84" w:rsidP="00F94167">
            <w:pPr>
              <w:ind w:left="113" w:right="113"/>
              <w:jc w:val="center"/>
              <w:rPr>
                <w:b/>
                <w:sz w:val="24"/>
                <w:szCs w:val="24"/>
              </w:rPr>
            </w:pPr>
            <w:r w:rsidRPr="00577B84">
              <w:rPr>
                <w:b/>
                <w:sz w:val="24"/>
                <w:szCs w:val="24"/>
              </w:rPr>
              <w:t>DEVELOPING</w:t>
            </w:r>
          </w:p>
        </w:tc>
        <w:tc>
          <w:tcPr>
            <w:tcW w:w="4254" w:type="dxa"/>
            <w:shd w:val="clear" w:color="auto" w:fill="D6E3BC" w:themeFill="accent3" w:themeFillTint="66"/>
          </w:tcPr>
          <w:p w:rsidR="00577B84" w:rsidRDefault="00577B84" w:rsidP="00F94167">
            <w:pPr>
              <w:numPr>
                <w:ilvl w:val="0"/>
                <w:numId w:val="2"/>
              </w:numPr>
              <w:ind w:left="357" w:hanging="357"/>
              <w:rPr>
                <w:rFonts w:ascii="Arial" w:hAnsi="Arial" w:cs="Arial"/>
                <w:b/>
                <w:sz w:val="20"/>
                <w:szCs w:val="20"/>
              </w:rPr>
            </w:pPr>
            <w:r w:rsidRPr="00A011B6">
              <w:rPr>
                <w:rFonts w:ascii="Arial" w:hAnsi="Arial" w:cs="Arial"/>
                <w:b/>
                <w:sz w:val="20"/>
                <w:szCs w:val="20"/>
              </w:rPr>
              <w:t>Leading Others</w:t>
            </w:r>
          </w:p>
          <w:p w:rsidR="00577B84" w:rsidRPr="00FE276E" w:rsidRDefault="00577B84" w:rsidP="00F94167">
            <w:pPr>
              <w:ind w:left="357"/>
              <w:rPr>
                <w:rFonts w:ascii="Arial" w:hAnsi="Arial" w:cs="Arial"/>
                <w:b/>
                <w:sz w:val="16"/>
                <w:szCs w:val="16"/>
              </w:rPr>
            </w:pPr>
          </w:p>
          <w:p w:rsidR="00577B84" w:rsidRDefault="00577B84" w:rsidP="00F94167">
            <w:r w:rsidRPr="001918E0">
              <w:rPr>
                <w:rFonts w:ascii="Arial" w:hAnsi="Arial" w:cs="Arial"/>
                <w:i/>
                <w:sz w:val="20"/>
                <w:szCs w:val="20"/>
              </w:rPr>
              <w:t xml:space="preserve">The Senior Lecturer </w:t>
            </w:r>
            <w:r w:rsidRPr="004B7CEE">
              <w:rPr>
                <w:rFonts w:ascii="Arial" w:hAnsi="Arial" w:cs="Arial"/>
                <w:i/>
                <w:sz w:val="20"/>
                <w:szCs w:val="20"/>
              </w:rPr>
              <w:t>must work well with others, providing leadership and direction to students, colleagues and support staff in relation to projects or areas of work that they are leading on. They effectively encourage, support and manage the contributions of others to deliver results for the discipline and to ensure that high standards are met</w:t>
            </w:r>
            <w:r>
              <w:rPr>
                <w:rFonts w:ascii="Arial" w:hAnsi="Arial" w:cs="Arial"/>
                <w:i/>
                <w:sz w:val="20"/>
                <w:szCs w:val="20"/>
              </w:rPr>
              <w:t>.</w:t>
            </w:r>
          </w:p>
          <w:p w:rsidR="00577B84" w:rsidRPr="00A011B6" w:rsidRDefault="00577B84" w:rsidP="00F94167">
            <w:pPr>
              <w:rPr>
                <w:rFonts w:ascii="Arial" w:hAnsi="Arial" w:cs="Arial"/>
                <w:i/>
                <w:color w:val="000000"/>
                <w:sz w:val="20"/>
                <w:szCs w:val="20"/>
                <w:u w:val="single"/>
              </w:rPr>
            </w:pPr>
          </w:p>
          <w:p w:rsidR="00577B84" w:rsidRPr="00062589" w:rsidRDefault="00577B84" w:rsidP="00F94167">
            <w:pPr>
              <w:pStyle w:val="BodyText"/>
              <w:ind w:right="0"/>
              <w:jc w:val="left"/>
              <w:rPr>
                <w:rFonts w:ascii="Arial" w:hAnsi="Arial" w:cs="Arial"/>
                <w:i w:val="0"/>
                <w:sz w:val="20"/>
                <w:szCs w:val="20"/>
                <w:lang w:val="en-IE"/>
              </w:rPr>
            </w:pPr>
          </w:p>
        </w:tc>
        <w:tc>
          <w:tcPr>
            <w:tcW w:w="606" w:type="dxa"/>
            <w:shd w:val="clear" w:color="auto" w:fill="8DB3E2" w:themeFill="text2" w:themeFillTint="66"/>
            <w:textDirection w:val="btLr"/>
          </w:tcPr>
          <w:p w:rsidR="00577B84" w:rsidRDefault="00577B84" w:rsidP="00F94167">
            <w:pPr>
              <w:ind w:left="113" w:right="113"/>
              <w:jc w:val="center"/>
            </w:pPr>
            <w:r w:rsidRPr="00577B84">
              <w:rPr>
                <w:b/>
                <w:sz w:val="24"/>
                <w:szCs w:val="24"/>
              </w:rPr>
              <w:t>CORE</w:t>
            </w:r>
          </w:p>
        </w:tc>
        <w:tc>
          <w:tcPr>
            <w:tcW w:w="3690" w:type="dxa"/>
            <w:shd w:val="clear" w:color="auto" w:fill="8DB3E2" w:themeFill="text2" w:themeFillTint="66"/>
          </w:tcPr>
          <w:p w:rsidR="00577B84" w:rsidRPr="00A011B6" w:rsidRDefault="00577B84" w:rsidP="00F94167">
            <w:pPr>
              <w:numPr>
                <w:ilvl w:val="0"/>
                <w:numId w:val="3"/>
              </w:numPr>
              <w:ind w:left="357" w:hanging="357"/>
              <w:rPr>
                <w:rFonts w:ascii="Arial" w:hAnsi="Arial" w:cs="Arial"/>
                <w:b/>
                <w:sz w:val="20"/>
                <w:szCs w:val="20"/>
              </w:rPr>
            </w:pPr>
            <w:r w:rsidRPr="00A011B6">
              <w:rPr>
                <w:rFonts w:ascii="Arial" w:hAnsi="Arial" w:cs="Arial"/>
                <w:b/>
                <w:sz w:val="20"/>
                <w:szCs w:val="20"/>
              </w:rPr>
              <w:t>Collegiate</w:t>
            </w:r>
            <w:r>
              <w:rPr>
                <w:rFonts w:ascii="Arial" w:hAnsi="Arial" w:cs="Arial"/>
                <w:b/>
                <w:sz w:val="20"/>
                <w:szCs w:val="20"/>
              </w:rPr>
              <w:t xml:space="preserve"> &amp;</w:t>
            </w:r>
            <w:r w:rsidRPr="00A011B6">
              <w:rPr>
                <w:rFonts w:ascii="Arial" w:hAnsi="Arial" w:cs="Arial"/>
                <w:b/>
                <w:sz w:val="20"/>
                <w:szCs w:val="20"/>
              </w:rPr>
              <w:t xml:space="preserve"> Community Contribution</w:t>
            </w:r>
          </w:p>
          <w:p w:rsidR="00577B84" w:rsidRPr="00FE276E" w:rsidRDefault="00577B84" w:rsidP="00F94167">
            <w:pPr>
              <w:ind w:left="360"/>
              <w:jc w:val="both"/>
              <w:rPr>
                <w:rFonts w:ascii="Arial" w:hAnsi="Arial" w:cs="Arial"/>
                <w:sz w:val="16"/>
                <w:szCs w:val="16"/>
              </w:rPr>
            </w:pPr>
          </w:p>
          <w:p w:rsidR="00577B84" w:rsidRPr="001918E0" w:rsidRDefault="00577B84" w:rsidP="00F94167">
            <w:pPr>
              <w:jc w:val="both"/>
              <w:rPr>
                <w:rFonts w:ascii="Arial" w:hAnsi="Arial" w:cs="Arial"/>
                <w:i/>
                <w:sz w:val="20"/>
                <w:szCs w:val="20"/>
              </w:rPr>
            </w:pPr>
            <w:r>
              <w:rPr>
                <w:rFonts w:ascii="Arial" w:hAnsi="Arial" w:cs="Arial"/>
                <w:i/>
                <w:sz w:val="20"/>
                <w:szCs w:val="20"/>
              </w:rPr>
              <w:t xml:space="preserve">The </w:t>
            </w:r>
            <w:r w:rsidRPr="004B7CEE">
              <w:rPr>
                <w:rFonts w:ascii="Arial" w:hAnsi="Arial" w:cs="Arial"/>
                <w:i/>
                <w:sz w:val="20"/>
                <w:szCs w:val="20"/>
              </w:rPr>
              <w:t xml:space="preserve">Senior Lecturer </w:t>
            </w:r>
            <w:r w:rsidRPr="001918E0">
              <w:rPr>
                <w:rFonts w:ascii="Arial" w:hAnsi="Arial" w:cs="Arial"/>
                <w:i/>
                <w:sz w:val="20"/>
                <w:szCs w:val="20"/>
              </w:rPr>
              <w:t xml:space="preserve">values and engages in a collegiate approach to working with others, within their own discipline, school and university and also within the wider external community. S/he actively seeks to build effective networks and is willing to contribute their time and expertise to a range of broader university wide or community projects.  </w:t>
            </w:r>
          </w:p>
          <w:p w:rsidR="00577B84" w:rsidRPr="00FE276E" w:rsidRDefault="00577B84" w:rsidP="00F94167">
            <w:pPr>
              <w:pStyle w:val="BodyText"/>
              <w:ind w:right="0"/>
              <w:jc w:val="left"/>
              <w:rPr>
                <w:rFonts w:ascii="Arial" w:hAnsi="Arial" w:cs="Arial"/>
                <w:b w:val="0"/>
                <w:sz w:val="20"/>
                <w:szCs w:val="20"/>
                <w:lang w:val="en-IE"/>
              </w:rPr>
            </w:pPr>
          </w:p>
        </w:tc>
      </w:tr>
    </w:tbl>
    <w:p w:rsidR="00577B84" w:rsidRDefault="00577B84" w:rsidP="00622C07"/>
    <w:sectPr w:rsidR="00577B84" w:rsidSect="00622C07">
      <w:pgSz w:w="16838" w:h="11906" w:orient="landscape"/>
      <w:pgMar w:top="850" w:right="562" w:bottom="850" w:left="56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rsids>
    <w:rsidRoot w:val="00577B84"/>
    <w:rsid w:val="0015043E"/>
    <w:rsid w:val="00302053"/>
    <w:rsid w:val="00340F79"/>
    <w:rsid w:val="004142B2"/>
    <w:rsid w:val="00556E78"/>
    <w:rsid w:val="00577B84"/>
    <w:rsid w:val="0061192C"/>
    <w:rsid w:val="00622C07"/>
    <w:rsid w:val="007A3788"/>
    <w:rsid w:val="007C0A98"/>
    <w:rsid w:val="0081069A"/>
    <w:rsid w:val="0084495C"/>
    <w:rsid w:val="00B128AE"/>
    <w:rsid w:val="00C530DC"/>
    <w:rsid w:val="00E016A6"/>
    <w:rsid w:val="00F131E8"/>
    <w:rsid w:val="00F9416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577B84"/>
    <w:pPr>
      <w:spacing w:after="0" w:line="240" w:lineRule="auto"/>
      <w:ind w:right="-839"/>
      <w:jc w:val="center"/>
    </w:pPr>
    <w:rPr>
      <w:rFonts w:ascii="Times New Roman" w:eastAsia="Times New Roman" w:hAnsi="Times New Roman" w:cs="Times New Roman"/>
      <w:b/>
      <w:bCs/>
      <w:i/>
      <w:iCs/>
      <w:sz w:val="28"/>
      <w:szCs w:val="24"/>
      <w:lang w:val="en-GB"/>
    </w:rPr>
  </w:style>
  <w:style w:type="character" w:customStyle="1" w:styleId="BodyTextChar">
    <w:name w:val="Body Text Char"/>
    <w:basedOn w:val="DefaultParagraphFont"/>
    <w:link w:val="BodyText"/>
    <w:rsid w:val="00577B84"/>
    <w:rPr>
      <w:rFonts w:ascii="Times New Roman" w:eastAsia="Times New Roman" w:hAnsi="Times New Roman" w:cs="Times New Roman"/>
      <w:b/>
      <w:bCs/>
      <w:i/>
      <w:iCs/>
      <w:sz w:val="28"/>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dc:creator>
  <cp:lastModifiedBy>ISS</cp:lastModifiedBy>
  <cp:revision>7</cp:revision>
  <dcterms:created xsi:type="dcterms:W3CDTF">2013-05-30T15:15:00Z</dcterms:created>
  <dcterms:modified xsi:type="dcterms:W3CDTF">2014-01-13T13:40:00Z</dcterms:modified>
</cp:coreProperties>
</file>