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8C57D3" w:rsidRDefault="00A04D1B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1849B" w:themeColor="accent5" w:themeShade="BF"/>
          <w:sz w:val="28"/>
          <w:szCs w:val="28"/>
        </w:rPr>
      </w:pPr>
      <w:r w:rsidRPr="008C57D3">
        <w:rPr>
          <w:b/>
          <w:noProof/>
          <w:color w:val="31849B" w:themeColor="accent5" w:themeShade="BF"/>
          <w:sz w:val="28"/>
          <w:szCs w:val="28"/>
          <w:lang w:eastAsia="en-IE"/>
        </w:rPr>
        <w:t>Department of Agriculture, Food and the Marine (“the Department”)</w:t>
      </w:r>
      <w:r w:rsidR="005516B6" w:rsidRPr="008C57D3">
        <w:rPr>
          <w:b/>
          <w:color w:val="31849B" w:themeColor="accent5" w:themeShade="BF"/>
          <w:sz w:val="28"/>
          <w:szCs w:val="28"/>
        </w:rPr>
        <w:t xml:space="preserve"> </w:t>
      </w:r>
    </w:p>
    <w:p w:rsidR="00512D71" w:rsidRPr="008C57D3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1849B" w:themeColor="accent5" w:themeShade="BF"/>
          <w:sz w:val="28"/>
          <w:szCs w:val="28"/>
        </w:rPr>
      </w:pPr>
      <w:r w:rsidRPr="008C57D3">
        <w:rPr>
          <w:b/>
          <w:color w:val="31849B" w:themeColor="accent5" w:themeShade="BF"/>
          <w:sz w:val="28"/>
          <w:szCs w:val="28"/>
        </w:rPr>
        <w:t>Main Financial Terms and Conditions for Research Awards</w:t>
      </w:r>
    </w:p>
    <w:p w:rsidR="00757E27" w:rsidRPr="008C57D3" w:rsidRDefault="00512D71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1849B" w:themeColor="accent5" w:themeShade="BF"/>
          <w:sz w:val="28"/>
          <w:szCs w:val="28"/>
        </w:rPr>
      </w:pPr>
      <w:r w:rsidRPr="008C57D3">
        <w:rPr>
          <w:b/>
          <w:color w:val="31849B" w:themeColor="accent5" w:themeShade="BF"/>
          <w:sz w:val="28"/>
          <w:szCs w:val="28"/>
        </w:rPr>
        <w:t>(FIRM / RSF / CoFoRD projects)</w:t>
      </w:r>
    </w:p>
    <w:p w:rsidR="00F01527" w:rsidRDefault="00F01527" w:rsidP="00F01527"/>
    <w:p w:rsidR="00F01527" w:rsidRDefault="00A53281" w:rsidP="00F01527">
      <w:bookmarkStart w:id="0" w:name="_GoBack"/>
      <w:bookmarkEnd w:id="0"/>
      <w:r w:rsidRPr="00A53281">
        <w:rPr>
          <w:b/>
          <w:noProof/>
          <w:color w:val="C00000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3.15pt;margin-top:3.65pt;width:215.15pt;height:27.3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4E02E7" w:rsidRPr="008C57D3" w:rsidRDefault="004E02E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A</w:t>
                  </w:r>
                  <w:r w:rsidR="00AD20CD" w:rsidRPr="008C57D3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mendmE</w:t>
                  </w:r>
                  <w:r w:rsidRPr="008C57D3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nts</w:t>
                  </w:r>
                </w:p>
              </w:txbxContent>
            </v:textbox>
          </v:shape>
        </w:pict>
      </w:r>
      <w:r w:rsidRPr="00A53281">
        <w:rPr>
          <w:b/>
          <w:noProof/>
          <w:color w:val="C00000"/>
          <w:sz w:val="28"/>
          <w:szCs w:val="28"/>
          <w:lang w:eastAsia="en-IE"/>
        </w:rPr>
        <w:pict>
          <v:shape id="_x0000_s1033" type="#_x0000_t202" style="position:absolute;margin-left:-32.25pt;margin-top:3.65pt;width:215.1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9D4F7E" w:rsidRPr="008C57D3" w:rsidRDefault="009D4F7E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:rsidR="00F01527" w:rsidRDefault="00F01527" w:rsidP="00F01527"/>
    <w:p w:rsidR="00F01527" w:rsidRDefault="00142295" w:rsidP="00F01527">
      <w:r w:rsidRPr="00A53281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6pt;margin-top:9.05pt;width:255.75pt;height:59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9D4F7E" w:rsidRPr="008C57D3" w:rsidRDefault="009D4F7E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sz w:val="22"/>
                      <w:szCs w:val="22"/>
                      <w:lang w:val="en-IE"/>
                    </w:rPr>
                    <w:t>Eligible direct costs</w:t>
                  </w:r>
                  <w:r w:rsidR="008C57D3" w:rsidRPr="008C57D3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</w:t>
                  </w:r>
                  <w:r w:rsidR="0009630B" w:rsidRPr="008C57D3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69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093"/>
                    <w:gridCol w:w="2268"/>
                    <w:gridCol w:w="2551"/>
                  </w:tblGrid>
                  <w:tr w:rsidR="0078662F" w:rsidRPr="006A628C" w:rsidTr="00E645E1">
                    <w:tc>
                      <w:tcPr>
                        <w:tcW w:w="2093" w:type="dxa"/>
                      </w:tcPr>
                      <w:p w:rsidR="008B60AB" w:rsidRDefault="008C5C26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</w:t>
                        </w:r>
                        <w:r w:rsidR="008B60AB"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alaries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(timesheets required)</w:t>
                        </w:r>
                      </w:p>
                      <w:p w:rsidR="00EC27D7" w:rsidRPr="008C57D3" w:rsidRDefault="00A04D1B" w:rsidP="00A04D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travel and subsistence</w:t>
                        </w:r>
                      </w:p>
                      <w:p w:rsidR="008C5C26" w:rsidRPr="00A04D1B" w:rsidRDefault="008C5C26" w:rsidP="00A04D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postgraduate fees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(up to €6,000 p.a. for 4 years)</w:t>
                        </w:r>
                      </w:p>
                      <w:p w:rsidR="00236A92" w:rsidRPr="00EC27D7" w:rsidRDefault="00236A92" w:rsidP="00A04D1B">
                        <w:pPr>
                          <w:spacing w:line="276" w:lineRule="auto"/>
                          <w:ind w:left="28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78662F" w:rsidRPr="008C57D3" w:rsidRDefault="00A04D1B" w:rsidP="002D54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consumables</w:t>
                        </w:r>
                        <w:r w:rsidR="0078662F"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</w:t>
                        </w:r>
                      </w:p>
                      <w:p w:rsidR="00EC27D7" w:rsidRDefault="008C5C26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small </w:t>
                        </w:r>
                        <w:r w:rsidR="00A04D1B"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equipment</w:t>
                        </w:r>
                        <w:r w:rsidR="00A04D1B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(labelled with NDP / DAFM logos)</w:t>
                        </w:r>
                      </w:p>
                      <w:p w:rsidR="008C5C26" w:rsidRPr="008C57D3" w:rsidRDefault="008C5C26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computer</w:t>
                        </w:r>
                      </w:p>
                      <w:p w:rsidR="008C5C26" w:rsidRDefault="008C5C26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postgraduate student stipends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(at €16,000 p.a. for 4 years)</w:t>
                        </w:r>
                      </w:p>
                      <w:p w:rsidR="00A04D1B" w:rsidRPr="00EC27D7" w:rsidRDefault="00A04D1B" w:rsidP="00A04D1B">
                        <w:pPr>
                          <w:spacing w:line="276" w:lineRule="auto"/>
                          <w:ind w:left="28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78662F" w:rsidRPr="006A628C" w:rsidRDefault="0078662F" w:rsidP="00142295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9D4F7E" w:rsidRPr="008C57D3" w:rsidRDefault="009D4F7E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All eligible costs claimed should be 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vouchable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, 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directly attributable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to the project and incurred within the 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 xml:space="preserve">approved budget 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and 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project period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  <w:r w:rsidR="008F6F28"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8F6F28" w:rsidRPr="008F6F28" w:rsidRDefault="008F6F28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ED5F27" w:rsidRDefault="008C5C26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Equipment costs</w:t>
                  </w:r>
                  <w:r w:rsidR="00ED5F27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– </w:t>
                  </w:r>
                  <w:r w:rsidR="00FF47F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should be proportionate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ly allocated over a 60 month period (36 months for computer equipment)</w:t>
                  </w:r>
                  <w:r w:rsidR="00ED5F27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9D4F7E" w:rsidRPr="008C57D3" w:rsidRDefault="009D4F7E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lang w:val="en-IE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lang w:val="en-IE"/>
                    </w:rPr>
                    <w:br/>
                  </w:r>
                  <w:r w:rsidRPr="008C57D3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lang w:val="en-IE"/>
                    </w:rPr>
                    <w:t xml:space="preserve">Ineligible direct costs </w:t>
                  </w:r>
                </w:p>
                <w:p w:rsidR="008C57D3" w:rsidRPr="008C57D3" w:rsidRDefault="008C57D3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</w:p>
                <w:tbl>
                  <w:tblPr>
                    <w:tblStyle w:val="TableGrid"/>
                    <w:tblW w:w="4677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26"/>
                    <w:gridCol w:w="2551"/>
                  </w:tblGrid>
                  <w:tr w:rsidR="009D4F7E" w:rsidRPr="008C57D3" w:rsidTr="006A628C">
                    <w:tc>
                      <w:tcPr>
                        <w:tcW w:w="2126" w:type="dxa"/>
                      </w:tcPr>
                      <w:p w:rsidR="009D4F7E" w:rsidRPr="008C57D3" w:rsidRDefault="00A04D1B" w:rsidP="00A04D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laboratory coats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9D4F7E" w:rsidRPr="008C57D3" w:rsidRDefault="00A04D1B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detergents</w:t>
                        </w:r>
                      </w:p>
                    </w:tc>
                  </w:tr>
                  <w:tr w:rsidR="009D4F7E" w:rsidRPr="006A628C" w:rsidTr="0008580D">
                    <w:trPr>
                      <w:trHeight w:val="1692"/>
                    </w:trPr>
                    <w:tc>
                      <w:tcPr>
                        <w:tcW w:w="2126" w:type="dxa"/>
                      </w:tcPr>
                      <w:p w:rsidR="009D4F7E" w:rsidRPr="008C57D3" w:rsidRDefault="00A04D1B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general safety equipment</w:t>
                        </w:r>
                      </w:p>
                      <w:p w:rsidR="0008580D" w:rsidRPr="00142295" w:rsidRDefault="00EC27D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14229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overhead</w:t>
                        </w:r>
                        <w:r w:rsidR="00A04D1B" w:rsidRPr="0014229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</w:t>
                        </w:r>
                        <w:r w:rsidR="004303E7" w:rsidRPr="0014229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, office equipment and supplies</w:t>
                        </w:r>
                      </w:p>
                      <w:p w:rsidR="008C5C26" w:rsidRPr="008C57D3" w:rsidRDefault="008C5C26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support staff costs</w:t>
                        </w:r>
                      </w:p>
                      <w:p w:rsidR="008C5C26" w:rsidRDefault="008C5C26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permanent researchers funded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  <w:r w:rsidRPr="0014229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from core NUIG funds</w:t>
                        </w:r>
                      </w:p>
                      <w:p w:rsidR="004303E7" w:rsidRDefault="004303E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redundancy payments or termination costs</w:t>
                        </w:r>
                      </w:p>
                      <w:p w:rsidR="00142295" w:rsidRPr="008C57D3" w:rsidRDefault="00142295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patent costs</w:t>
                        </w:r>
                      </w:p>
                      <w:p w:rsidR="004303E7" w:rsidRDefault="004303E7" w:rsidP="004303E7">
                        <w:pPr>
                          <w:spacing w:line="276" w:lineRule="auto"/>
                          <w:ind w:left="-108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9D4F7E" w:rsidRPr="006A628C" w:rsidRDefault="009D4F7E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4303E7" w:rsidRDefault="004303E7" w:rsidP="004303E7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9D4F7E" w:rsidRPr="006A628C" w:rsidRDefault="009D4F7E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A04D1B" w:rsidRPr="008C57D3" w:rsidRDefault="00A04D1B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subscriptions to </w:t>
                        </w:r>
                        <w:r w:rsidR="004303E7"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or publication of </w:t>
                        </w: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scientific journals</w:t>
                        </w:r>
                      </w:p>
                      <w:p w:rsidR="00A04D1B" w:rsidRPr="008C57D3" w:rsidRDefault="00A04D1B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membership of institutes</w:t>
                        </w:r>
                      </w:p>
                      <w:p w:rsidR="00EC27D7" w:rsidRPr="008C57D3" w:rsidRDefault="00A04D1B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costs not relating to the project</w:t>
                        </w:r>
                      </w:p>
                      <w:p w:rsidR="004303E7" w:rsidRPr="008C57D3" w:rsidRDefault="004303E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sick pay</w:t>
                        </w:r>
                      </w:p>
                      <w:p w:rsidR="004303E7" w:rsidRPr="008C57D3" w:rsidRDefault="004303E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maternity pay</w:t>
                        </w:r>
                      </w:p>
                      <w:p w:rsidR="004303E7" w:rsidRPr="008C57D3" w:rsidRDefault="004303E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8C57D3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hospitality or entertainment expenses</w:t>
                        </w:r>
                        <w:r w:rsidR="00142295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(</w:t>
                        </w:r>
                        <w:r w:rsidR="00142295" w:rsidRPr="0014229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except such reasonable expenses accepted as wholly and exclusively necessary</w:t>
                        </w:r>
                        <w:r w:rsidR="0014229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</w:t>
                        </w:r>
                      </w:p>
                      <w:p w:rsidR="009D4F7E" w:rsidRPr="006A628C" w:rsidRDefault="009D4F7E" w:rsidP="00142295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9D4F7E" w:rsidRPr="006A628C" w:rsidRDefault="009D4F7E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53281" w:rsidRPr="00A53281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23.15pt;margin-top:9.05pt;width:270.65pt;height:339.9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  <w:r w:rsidR="00A53281" w:rsidRPr="00A53281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2.3pt;margin-top:9.05pt;width:241.9pt;height:661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</w:p>
    <w:p w:rsidR="00F01527" w:rsidRDefault="008C57D3" w:rsidP="00F01527">
      <w:r w:rsidRPr="00A53281">
        <w:rPr>
          <w:b/>
          <w:noProof/>
          <w:color w:val="C00000"/>
          <w:sz w:val="28"/>
          <w:szCs w:val="28"/>
          <w:lang w:eastAsia="en-IE"/>
        </w:rPr>
        <w:pict>
          <v:shape id="_x0000_s1031" type="#_x0000_t202" style="position:absolute;margin-left:223.15pt;margin-top:-.05pt;width:260.85pt;height:3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31">
              <w:txbxContent>
                <w:p w:rsidR="008406CC" w:rsidRPr="00142295" w:rsidRDefault="008406CC" w:rsidP="008406CC">
                  <w:pPr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4229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 xml:space="preserve">NOTIFICATIONS TO </w:t>
                  </w:r>
                  <w:r w:rsidR="00FF47F9" w:rsidRPr="0014229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THE DEPARTMENT</w:t>
                  </w:r>
                  <w:r w:rsidRPr="0014229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  <w:p w:rsidR="004303E7" w:rsidRDefault="004303E7" w:rsidP="008406C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8406CC" w:rsidRPr="00142295" w:rsidRDefault="008406CC" w:rsidP="008406CC">
                  <w:pPr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4229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Required immediately for:</w:t>
                  </w:r>
                </w:p>
                <w:p w:rsidR="004303E7" w:rsidRPr="00142295" w:rsidRDefault="004303E7" w:rsidP="008406CC">
                  <w:pPr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8406CC" w:rsidRPr="00142295" w:rsidRDefault="00507D98" w:rsidP="008406CC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142"/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2"/>
                      <w:szCs w:val="22"/>
                    </w:rPr>
                    <w:t>Significant modification or termination</w:t>
                  </w: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142295"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>of any</w:t>
                  </w: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142295"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>element of approved research projects;</w:t>
                  </w:r>
                </w:p>
                <w:p w:rsidR="00507D98" w:rsidRPr="00142295" w:rsidRDefault="00507D98" w:rsidP="008406CC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142"/>
                    <w:rPr>
                      <w:rFonts w:ascii="Calibri" w:hAnsi="Calibri" w:cs="Calibr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2"/>
                      <w:szCs w:val="22"/>
                    </w:rPr>
                    <w:t>Requirement to extend the project period (no-cost basis);</w:t>
                  </w:r>
                </w:p>
                <w:p w:rsidR="00507D98" w:rsidRPr="00142295" w:rsidRDefault="00512D71" w:rsidP="008406CC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142"/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2"/>
                      <w:szCs w:val="22"/>
                    </w:rPr>
                    <w:t>If the project has not commenced within 3 months</w:t>
                  </w:r>
                  <w:r w:rsidRPr="00142295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142295"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>of the approved start date (may result in grant being reduced or revoked by the Department);</w:t>
                  </w:r>
                </w:p>
                <w:p w:rsidR="008406CC" w:rsidRDefault="008406CC" w:rsidP="008406CC">
                  <w:pPr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8C57D3" w:rsidRDefault="008C57D3" w:rsidP="008406CC">
                  <w:pPr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8C57D3" w:rsidRDefault="008C57D3" w:rsidP="008C57D3">
                  <w:pPr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</w:pPr>
                  <w:r w:rsidRPr="00783DBF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  <w:t>Budget Modification</w:t>
                  </w:r>
                  <w:r w:rsidRPr="00783DBF"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>- any modifications must be cost neutral, adequately justified, reasonable, timely and clearly explained in the management section of the PPR</w:t>
                  </w:r>
                  <w:r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:rsidR="008C57D3" w:rsidRDefault="008C57D3" w:rsidP="008C57D3">
                  <w:pPr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8C57D3" w:rsidRPr="00783DBF" w:rsidRDefault="008C57D3" w:rsidP="008C57D3">
                  <w:pPr>
                    <w:rPr>
                      <w:rFonts w:ascii="Calibri" w:hAnsi="Calibri" w:cs="Calibri"/>
                      <w:color w:val="404040" w:themeColor="text1" w:themeTint="BF"/>
                      <w:sz w:val="20"/>
                    </w:rPr>
                  </w:pPr>
                  <w:r w:rsidRPr="00783DBF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  <w:szCs w:val="20"/>
                    </w:rPr>
                    <w:t>Fixed Budgets</w:t>
                  </w:r>
                  <w:r w:rsidRPr="00783DBF"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  <w:t>: Funds may not be transferred between certain budget categories without advance permission and the submission of revised budget sheets</w:t>
                  </w:r>
                  <w:r w:rsidRPr="00783DBF">
                    <w:rPr>
                      <w:rFonts w:ascii="Calibri" w:hAnsi="Calibri" w:cs="Calibri"/>
                      <w:color w:val="404040" w:themeColor="text1" w:themeTint="BF"/>
                      <w:sz w:val="20"/>
                    </w:rPr>
                    <w:t xml:space="preserve"> </w:t>
                  </w:r>
                </w:p>
                <w:p w:rsidR="008C57D3" w:rsidRDefault="008C57D3" w:rsidP="008C57D3">
                  <w:pPr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</w:rPr>
                  </w:pPr>
                </w:p>
                <w:p w:rsidR="008C57D3" w:rsidRPr="008406CC" w:rsidRDefault="008C57D3" w:rsidP="008C57D3">
                  <w:pPr>
                    <w:rPr>
                      <w:rFonts w:ascii="Calibri" w:hAnsi="Calibri" w:cs="Calibri"/>
                      <w:color w:val="404040" w:themeColor="text1" w:themeTint="BF"/>
                      <w:sz w:val="20"/>
                      <w:szCs w:val="20"/>
                    </w:rPr>
                  </w:pPr>
                  <w:r w:rsidRPr="00783DBF">
                    <w:rPr>
                      <w:rFonts w:ascii="Calibri" w:hAnsi="Calibri" w:cs="Calibri"/>
                      <w:b/>
                      <w:color w:val="404040" w:themeColor="text1" w:themeTint="BF"/>
                      <w:sz w:val="20"/>
                    </w:rPr>
                    <w:t>Flexible Budgets</w:t>
                  </w:r>
                  <w:r w:rsidRPr="00783DBF">
                    <w:rPr>
                      <w:rFonts w:ascii="Calibri" w:hAnsi="Calibri" w:cs="Calibri"/>
                      <w:color w:val="404040" w:themeColor="text1" w:themeTint="BF"/>
                      <w:sz w:val="20"/>
                    </w:rPr>
                    <w:t>: It is not necessary to request permission to make changes to the amounts expended within flexible budget categories</w:t>
                  </w:r>
                </w:p>
              </w:txbxContent>
            </v:textbox>
          </v:shape>
        </w:pict>
      </w:r>
      <w:r w:rsidR="00A53281" w:rsidRPr="00A53281">
        <w:rPr>
          <w:b/>
          <w:noProof/>
          <w:color w:val="C00000"/>
          <w:sz w:val="28"/>
          <w:szCs w:val="28"/>
          <w:lang w:eastAsia="en-IE"/>
        </w:rPr>
        <w:pict>
          <v:shape id="Text Box 2" o:spid="_x0000_s1026" type="#_x0000_t202" style="position:absolute;margin-left:223.15pt;margin-top:398.95pt;width:260.85pt;height:257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" filled="f" stroked="f">
            <v:textbox style="mso-next-textbox:#Text Box 2">
              <w:txbxContent>
                <w:p w:rsidR="009D4F7E" w:rsidRPr="00E5150A" w:rsidRDefault="009D4F7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Financial reports should be submitted to </w:t>
                  </w:r>
                  <w:r w:rsidR="00A04D1B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the Department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as follows:</w:t>
                  </w:r>
                </w:p>
                <w:p w:rsidR="009D4F7E" w:rsidRPr="00E5150A" w:rsidRDefault="009D4F7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4"/>
                      <w:szCs w:val="14"/>
                      <w:lang w:val="en-IE"/>
                    </w:rPr>
                  </w:pPr>
                </w:p>
                <w:p w:rsidR="009D4F7E" w:rsidRPr="00E5150A" w:rsidRDefault="00A04D1B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>Financial / Progress Reports</w:t>
                  </w:r>
                  <w:r w:rsidR="009D4F7E" w:rsidRPr="00E5150A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="00507D98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as requested by the Department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;</w:t>
                  </w:r>
                </w:p>
                <w:p w:rsidR="009D4F7E" w:rsidRPr="0009630B" w:rsidRDefault="009D4F7E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9D4F7E" w:rsidRPr="00E5150A" w:rsidRDefault="00A04D1B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>Final Report</w:t>
                  </w:r>
                  <w:r w:rsidR="009D4F7E" w:rsidRPr="00E5150A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="0027061B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at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cessation of project activities;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(20% grant withheld until final report received and approved)</w:t>
                  </w:r>
                </w:p>
                <w:p w:rsidR="00542DFD" w:rsidRDefault="00542DFD" w:rsidP="00E5150A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257B0F" w:rsidRDefault="009D4F7E" w:rsidP="00507D98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Note:  </w:t>
                  </w:r>
                  <w:r w:rsidRPr="00E5150A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Failure to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submit these financial reports or comply with </w:t>
                  </w:r>
                  <w:r w:rsidR="00A04D1B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the Department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terms and conditions may result in non-payment of grants and/or financial sanctions. </w:t>
                  </w:r>
                </w:p>
                <w:p w:rsidR="00507D98" w:rsidRDefault="00507D98" w:rsidP="00507D98">
                  <w:pPr>
                    <w:spacing w:line="276" w:lineRule="auto"/>
                    <w:rPr>
                      <w:color w:val="C00000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Any project surpluses must be returned to the Department.</w:t>
                  </w:r>
                </w:p>
              </w:txbxContent>
            </v:textbox>
          </v:shape>
        </w:pict>
      </w:r>
      <w:r w:rsidR="00A53281" w:rsidRPr="00A53281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7" o:spid="_x0000_s1038" style="position:absolute;margin-left:223.15pt;margin-top:390.9pt;width:273.3pt;height:265.85pt;z-index:2516551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="00A53281" w:rsidRPr="00A53281">
        <w:rPr>
          <w:b/>
          <w:noProof/>
          <w:color w:val="C00000"/>
          <w:sz w:val="28"/>
          <w:szCs w:val="28"/>
          <w:lang w:eastAsia="en-IE"/>
        </w:rPr>
        <w:pict>
          <v:shape id="_x0000_s1027" type="#_x0000_t202" style="position:absolute;margin-left:223.15pt;margin-top:351.7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4E02E7" w:rsidRPr="008C57D3" w:rsidRDefault="004E02E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aps/>
                      <w:color w:val="31849B" w:themeColor="accent5" w:themeShade="BF"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  <w:r w:rsidR="00A53281" w:rsidRPr="00A53281">
        <w:rPr>
          <w:b/>
          <w:noProof/>
          <w:color w:val="C00000"/>
          <w:sz w:val="28"/>
          <w:szCs w:val="28"/>
          <w:lang w:val="en-IE" w:eastAsia="en-IE"/>
        </w:rPr>
        <w:pict>
          <v:shape id="_x0000_s1040" type="#_x0000_t202" style="position:absolute;margin-left:-11.95pt;margin-top:574.65pt;width:201pt;height:36.25pt;z-index:251675648">
            <v:textbox style="mso-next-textbox:#_x0000_s1040">
              <w:txbxContent>
                <w:p w:rsidR="0008580D" w:rsidRPr="008C57D3" w:rsidRDefault="0008580D">
                  <w:pPr>
                    <w:rPr>
                      <w:b/>
                      <w:color w:val="31849B" w:themeColor="accent5" w:themeShade="BF"/>
                    </w:rPr>
                  </w:pPr>
                  <w:r w:rsidRPr="008C57D3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  <w:t>Note: Refer to specific call documents for further</w:t>
                  </w:r>
                  <w:r w:rsidR="00257B0F" w:rsidRPr="008C57D3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  <w:t xml:space="preserve"> detail of</w:t>
                  </w:r>
                  <w:r w:rsidRPr="008C57D3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20"/>
                      <w:szCs w:val="20"/>
                      <w:lang w:val="en-IE"/>
                    </w:rPr>
                    <w:t xml:space="preserve"> eligible and ineligible costs.</w:t>
                  </w:r>
                </w:p>
              </w:txbxContent>
            </v:textbox>
          </v:shape>
        </w:pict>
      </w:r>
    </w:p>
    <w:sectPr w:rsidR="00F01527" w:rsidSect="00E645E1">
      <w:footerReference w:type="default" r:id="rId8"/>
      <w:pgSz w:w="11906" w:h="16838"/>
      <w:pgMar w:top="541" w:right="1416" w:bottom="1440" w:left="1418" w:header="284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3F" w:rsidRDefault="006D2E3F" w:rsidP="00986DC6">
      <w:r>
        <w:separator/>
      </w:r>
    </w:p>
  </w:endnote>
  <w:endnote w:type="continuationSeparator" w:id="0">
    <w:p w:rsidR="006D2E3F" w:rsidRDefault="006D2E3F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E" w:rsidRPr="00D546F9" w:rsidRDefault="00FF47F9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39707</wp:posOffset>
          </wp:positionV>
          <wp:extent cx="790575" cy="4130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73" cy="41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7B0F">
      <w:rPr>
        <w:rFonts w:asciiTheme="minorHAnsi" w:hAnsiTheme="minorHAnsi" w:cstheme="minorHAnsi"/>
        <w:color w:val="808080" w:themeColor="background1" w:themeShade="80"/>
      </w:rPr>
      <w:t>NUIG version 1</w:t>
    </w:r>
    <w:r w:rsidR="009D4F7E"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9D4F7E" w:rsidRPr="00D546F9" w:rsidRDefault="009D4F7E" w:rsidP="00257B0F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rPr>
        <w:rFonts w:asciiTheme="minorHAnsi" w:hAnsiTheme="minorHAnsi" w:cstheme="minorHAnsi"/>
        <w:color w:val="808080" w:themeColor="background1" w:themeShade="80"/>
      </w:rPr>
    </w:pPr>
  </w:p>
  <w:p w:rsidR="009D4F7E" w:rsidRDefault="009D4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3F" w:rsidRDefault="006D2E3F" w:rsidP="00986DC6">
      <w:r>
        <w:separator/>
      </w:r>
    </w:p>
  </w:footnote>
  <w:footnote w:type="continuationSeparator" w:id="0">
    <w:p w:rsidR="006D2E3F" w:rsidRDefault="006D2E3F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1E"/>
    <w:multiLevelType w:val="hybridMultilevel"/>
    <w:tmpl w:val="C16A7784"/>
    <w:lvl w:ilvl="0" w:tplc="F4DC5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065A36"/>
    <w:multiLevelType w:val="hybridMultilevel"/>
    <w:tmpl w:val="E674743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7BDBF1"/>
    <w:multiLevelType w:val="hybridMultilevel"/>
    <w:tmpl w:val="1D3C22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BB813B1"/>
    <w:multiLevelType w:val="hybridMultilevel"/>
    <w:tmpl w:val="5C8CEC28"/>
    <w:lvl w:ilvl="0" w:tplc="F4DC5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4DC53F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414DF"/>
    <w:rsid w:val="000445D2"/>
    <w:rsid w:val="000526E4"/>
    <w:rsid w:val="00070729"/>
    <w:rsid w:val="0008580D"/>
    <w:rsid w:val="0009630B"/>
    <w:rsid w:val="000B4A0E"/>
    <w:rsid w:val="000C078C"/>
    <w:rsid w:val="000C2DD3"/>
    <w:rsid w:val="00142295"/>
    <w:rsid w:val="001748B6"/>
    <w:rsid w:val="001908AA"/>
    <w:rsid w:val="001B2ED7"/>
    <w:rsid w:val="002001EB"/>
    <w:rsid w:val="0020718B"/>
    <w:rsid w:val="00210877"/>
    <w:rsid w:val="00236A92"/>
    <w:rsid w:val="00257B0F"/>
    <w:rsid w:val="0027061B"/>
    <w:rsid w:val="00276EB9"/>
    <w:rsid w:val="002C1350"/>
    <w:rsid w:val="002F522D"/>
    <w:rsid w:val="003005D8"/>
    <w:rsid w:val="003021EA"/>
    <w:rsid w:val="00345B33"/>
    <w:rsid w:val="00352BE5"/>
    <w:rsid w:val="00354588"/>
    <w:rsid w:val="00361D5C"/>
    <w:rsid w:val="003930BC"/>
    <w:rsid w:val="00401409"/>
    <w:rsid w:val="00405B74"/>
    <w:rsid w:val="004303E7"/>
    <w:rsid w:val="004543AD"/>
    <w:rsid w:val="00457872"/>
    <w:rsid w:val="00492448"/>
    <w:rsid w:val="004C6FF7"/>
    <w:rsid w:val="004D06CB"/>
    <w:rsid w:val="004E02E7"/>
    <w:rsid w:val="004E7522"/>
    <w:rsid w:val="00507D98"/>
    <w:rsid w:val="00512D71"/>
    <w:rsid w:val="00542DFD"/>
    <w:rsid w:val="005516B6"/>
    <w:rsid w:val="00554D21"/>
    <w:rsid w:val="0056473E"/>
    <w:rsid w:val="005725FB"/>
    <w:rsid w:val="00587EDF"/>
    <w:rsid w:val="006554D4"/>
    <w:rsid w:val="006A628C"/>
    <w:rsid w:val="006D2E3F"/>
    <w:rsid w:val="0071786C"/>
    <w:rsid w:val="00757E27"/>
    <w:rsid w:val="007834E1"/>
    <w:rsid w:val="0078662F"/>
    <w:rsid w:val="008406CC"/>
    <w:rsid w:val="00894171"/>
    <w:rsid w:val="008B60AB"/>
    <w:rsid w:val="008C57D3"/>
    <w:rsid w:val="008C5C26"/>
    <w:rsid w:val="008F6F28"/>
    <w:rsid w:val="00917EDF"/>
    <w:rsid w:val="00947215"/>
    <w:rsid w:val="00957237"/>
    <w:rsid w:val="00986DC6"/>
    <w:rsid w:val="00987AD2"/>
    <w:rsid w:val="009D4F7E"/>
    <w:rsid w:val="00A04D1B"/>
    <w:rsid w:val="00A53281"/>
    <w:rsid w:val="00AA7EFF"/>
    <w:rsid w:val="00AC62EB"/>
    <w:rsid w:val="00AD20CD"/>
    <w:rsid w:val="00B32439"/>
    <w:rsid w:val="00B76C0F"/>
    <w:rsid w:val="00B87CF2"/>
    <w:rsid w:val="00BD2AA3"/>
    <w:rsid w:val="00C216CD"/>
    <w:rsid w:val="00C64121"/>
    <w:rsid w:val="00C738F8"/>
    <w:rsid w:val="00D25A4B"/>
    <w:rsid w:val="00D530E7"/>
    <w:rsid w:val="00D546F9"/>
    <w:rsid w:val="00D614C5"/>
    <w:rsid w:val="00D615D9"/>
    <w:rsid w:val="00E4296E"/>
    <w:rsid w:val="00E5150A"/>
    <w:rsid w:val="00E534CA"/>
    <w:rsid w:val="00E645E1"/>
    <w:rsid w:val="00EB7D26"/>
    <w:rsid w:val="00EC27D7"/>
    <w:rsid w:val="00ED5F27"/>
    <w:rsid w:val="00EF5729"/>
    <w:rsid w:val="00F01527"/>
    <w:rsid w:val="00F706F9"/>
    <w:rsid w:val="00FF0B25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6CB"/>
    <w:pPr>
      <w:ind w:left="720"/>
      <w:contextualSpacing/>
    </w:pPr>
  </w:style>
  <w:style w:type="paragraph" w:customStyle="1" w:styleId="Default">
    <w:name w:val="Default"/>
    <w:rsid w:val="004303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7E91-9288-47D1-A44A-5ECAB3F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2</cp:revision>
  <cp:lastPrinted>2012-10-24T11:15:00Z</cp:lastPrinted>
  <dcterms:created xsi:type="dcterms:W3CDTF">2013-10-30T09:01:00Z</dcterms:created>
  <dcterms:modified xsi:type="dcterms:W3CDTF">2013-10-30T09:01:00Z</dcterms:modified>
</cp:coreProperties>
</file>