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DCA" w:rsidRPr="00B0733E" w:rsidRDefault="005F2962" w:rsidP="00AD2DCA">
      <w:pPr>
        <w:tabs>
          <w:tab w:val="left" w:pos="2835"/>
        </w:tabs>
        <w:rPr>
          <w:rFonts w:asciiTheme="minorHAnsi" w:hAnsiTheme="minorHAnsi"/>
          <w:b/>
          <w:lang w:val="en-US"/>
        </w:rPr>
      </w:pPr>
      <w:bookmarkStart w:id="0" w:name="_GoBack"/>
      <w:bookmarkEnd w:id="0"/>
      <w:r w:rsidRPr="00B0733E">
        <w:rPr>
          <w:rFonts w:asciiTheme="minorHAnsi" w:hAnsiTheme="minorHAnsi"/>
          <w:b/>
          <w:noProof/>
          <w:lang w:eastAsia="en-IE"/>
        </w:rPr>
        <w:drawing>
          <wp:inline distT="0" distB="0" distL="0" distR="0">
            <wp:extent cx="5672066" cy="614101"/>
            <wp:effectExtent l="19050" t="0" r="483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671066" cy="613993"/>
                    </a:xfrm>
                    <a:prstGeom prst="rect">
                      <a:avLst/>
                    </a:prstGeom>
                    <a:noFill/>
                    <a:ln w="9525">
                      <a:noFill/>
                      <a:miter lim="800000"/>
                      <a:headEnd/>
                      <a:tailEnd/>
                    </a:ln>
                  </pic:spPr>
                </pic:pic>
              </a:graphicData>
            </a:graphic>
          </wp:inline>
        </w:drawing>
      </w:r>
    </w:p>
    <w:p w:rsidR="004F18DD" w:rsidRPr="00B0733E" w:rsidRDefault="004F18DD" w:rsidP="00C50D72">
      <w:pPr>
        <w:tabs>
          <w:tab w:val="left" w:pos="2835"/>
        </w:tabs>
        <w:jc w:val="both"/>
        <w:rPr>
          <w:rFonts w:asciiTheme="minorHAnsi" w:hAnsiTheme="minorHAnsi"/>
          <w:b/>
          <w:lang w:val="en-GB"/>
        </w:rPr>
      </w:pPr>
    </w:p>
    <w:p w:rsidR="004F18DD" w:rsidRPr="00B0733E" w:rsidRDefault="006E47B2" w:rsidP="00C50D72">
      <w:pPr>
        <w:jc w:val="both"/>
        <w:rPr>
          <w:rFonts w:asciiTheme="minorHAnsi" w:hAnsiTheme="minorHAnsi"/>
          <w:lang w:val="en-GB"/>
        </w:rPr>
      </w:pPr>
      <w:r>
        <w:rPr>
          <w:rFonts w:asciiTheme="minorHAnsi" w:hAnsiTheme="minorHAnsi"/>
          <w:lang w:val="en-GB"/>
        </w:rPr>
        <w:t>Code:</w:t>
      </w:r>
      <w:r>
        <w:rPr>
          <w:rFonts w:asciiTheme="minorHAnsi" w:hAnsiTheme="minorHAnsi"/>
          <w:lang w:val="en-GB"/>
        </w:rPr>
        <w:tab/>
      </w:r>
      <w:r>
        <w:rPr>
          <w:rFonts w:asciiTheme="minorHAnsi" w:hAnsiTheme="minorHAnsi"/>
          <w:lang w:val="en-GB"/>
        </w:rPr>
        <w:tab/>
        <w:t>QA307</w:t>
      </w:r>
    </w:p>
    <w:p w:rsidR="004F18DD" w:rsidRPr="00B0733E" w:rsidRDefault="00523A22" w:rsidP="00C50D72">
      <w:pPr>
        <w:jc w:val="both"/>
        <w:rPr>
          <w:rFonts w:asciiTheme="minorHAnsi" w:hAnsiTheme="minorHAnsi"/>
          <w:lang w:val="en-GB"/>
        </w:rPr>
      </w:pPr>
      <w:r w:rsidRPr="00B0733E">
        <w:rPr>
          <w:rFonts w:asciiTheme="minorHAnsi" w:hAnsiTheme="minorHAnsi"/>
          <w:lang w:val="en-GB"/>
        </w:rPr>
        <w:t xml:space="preserve">Title: </w:t>
      </w:r>
      <w:r w:rsidRPr="00B0733E">
        <w:rPr>
          <w:rFonts w:asciiTheme="minorHAnsi" w:hAnsiTheme="minorHAnsi"/>
          <w:lang w:val="en-GB"/>
        </w:rPr>
        <w:tab/>
      </w:r>
      <w:r w:rsidRPr="00B0733E">
        <w:rPr>
          <w:rFonts w:asciiTheme="minorHAnsi" w:hAnsiTheme="minorHAnsi"/>
          <w:lang w:val="en-GB"/>
        </w:rPr>
        <w:tab/>
      </w:r>
      <w:r w:rsidR="00FA3CAC" w:rsidRPr="00B0733E">
        <w:rPr>
          <w:rFonts w:asciiTheme="minorHAnsi" w:hAnsiTheme="minorHAnsi"/>
          <w:b/>
          <w:lang w:val="en-GB"/>
        </w:rPr>
        <w:t>Student Fee Liability and Sanctions for Late</w:t>
      </w:r>
      <w:r w:rsidR="00481AE7" w:rsidRPr="00B0733E">
        <w:rPr>
          <w:rFonts w:asciiTheme="minorHAnsi" w:hAnsiTheme="minorHAnsi"/>
          <w:b/>
          <w:lang w:val="en-GB"/>
        </w:rPr>
        <w:t xml:space="preserve"> or Non-</w:t>
      </w:r>
      <w:r w:rsidR="00FA3CAC" w:rsidRPr="00B0733E">
        <w:rPr>
          <w:rFonts w:asciiTheme="minorHAnsi" w:hAnsiTheme="minorHAnsi"/>
          <w:b/>
          <w:lang w:val="en-GB"/>
        </w:rPr>
        <w:t>Payment</w:t>
      </w:r>
      <w:r w:rsidR="00B0733E">
        <w:rPr>
          <w:rFonts w:asciiTheme="minorHAnsi" w:hAnsiTheme="minorHAnsi"/>
          <w:b/>
          <w:lang w:val="en-GB"/>
        </w:rPr>
        <w:t xml:space="preserve"> of Fees</w:t>
      </w:r>
    </w:p>
    <w:p w:rsidR="004F18DD" w:rsidRPr="00B0733E" w:rsidRDefault="00523A22" w:rsidP="00C50D72">
      <w:pPr>
        <w:jc w:val="both"/>
        <w:rPr>
          <w:rFonts w:asciiTheme="minorHAnsi" w:hAnsiTheme="minorHAnsi"/>
          <w:lang w:val="en-GB"/>
        </w:rPr>
      </w:pPr>
      <w:r w:rsidRPr="00B0733E">
        <w:rPr>
          <w:rFonts w:asciiTheme="minorHAnsi" w:hAnsiTheme="minorHAnsi"/>
          <w:lang w:val="en-GB"/>
        </w:rPr>
        <w:t xml:space="preserve">Date: </w:t>
      </w:r>
      <w:r w:rsidRPr="00B0733E">
        <w:rPr>
          <w:rFonts w:asciiTheme="minorHAnsi" w:hAnsiTheme="minorHAnsi"/>
          <w:lang w:val="en-GB"/>
        </w:rPr>
        <w:tab/>
      </w:r>
      <w:r w:rsidRPr="00B0733E">
        <w:rPr>
          <w:rFonts w:asciiTheme="minorHAnsi" w:hAnsiTheme="minorHAnsi"/>
          <w:lang w:val="en-GB"/>
        </w:rPr>
        <w:tab/>
      </w:r>
      <w:r w:rsidR="00A04A4F">
        <w:rPr>
          <w:rFonts w:asciiTheme="minorHAnsi" w:hAnsiTheme="minorHAnsi"/>
          <w:lang w:val="en-GB"/>
        </w:rPr>
        <w:t>22</w:t>
      </w:r>
      <w:r w:rsidR="00A04A4F" w:rsidRPr="00A04A4F">
        <w:rPr>
          <w:rFonts w:asciiTheme="minorHAnsi" w:hAnsiTheme="minorHAnsi"/>
          <w:vertAlign w:val="superscript"/>
          <w:lang w:val="en-GB"/>
        </w:rPr>
        <w:t>nd</w:t>
      </w:r>
      <w:r w:rsidR="00A04A4F">
        <w:rPr>
          <w:rFonts w:asciiTheme="minorHAnsi" w:hAnsiTheme="minorHAnsi"/>
          <w:lang w:val="en-GB"/>
        </w:rPr>
        <w:t xml:space="preserve"> July 2014</w:t>
      </w:r>
    </w:p>
    <w:p w:rsidR="007E2A54" w:rsidRPr="00B0733E" w:rsidRDefault="00523A22" w:rsidP="00C50D72">
      <w:pPr>
        <w:jc w:val="both"/>
        <w:rPr>
          <w:rFonts w:asciiTheme="minorHAnsi" w:hAnsiTheme="minorHAnsi"/>
          <w:lang w:val="en-GB"/>
        </w:rPr>
      </w:pPr>
      <w:r w:rsidRPr="00B0733E">
        <w:rPr>
          <w:rFonts w:asciiTheme="minorHAnsi" w:hAnsiTheme="minorHAnsi"/>
          <w:lang w:val="en-GB"/>
        </w:rPr>
        <w:t xml:space="preserve">Approval: </w:t>
      </w:r>
      <w:r w:rsidRPr="00B0733E">
        <w:rPr>
          <w:rFonts w:asciiTheme="minorHAnsi" w:hAnsiTheme="minorHAnsi"/>
          <w:lang w:val="en-GB"/>
        </w:rPr>
        <w:tab/>
        <w:t>UMT</w:t>
      </w:r>
    </w:p>
    <w:p w:rsidR="00D639AB" w:rsidRPr="00B0733E" w:rsidRDefault="00D639AB" w:rsidP="00C50D72">
      <w:pPr>
        <w:tabs>
          <w:tab w:val="left" w:pos="2835"/>
        </w:tabs>
        <w:jc w:val="both"/>
        <w:rPr>
          <w:rFonts w:asciiTheme="minorHAnsi" w:hAnsiTheme="minorHAnsi"/>
          <w:lang w:val="en-GB"/>
        </w:rPr>
      </w:pPr>
    </w:p>
    <w:p w:rsidR="00833CF2" w:rsidRPr="00B0733E" w:rsidRDefault="00523A22" w:rsidP="00397C96">
      <w:pPr>
        <w:pStyle w:val="ListParagraph"/>
        <w:numPr>
          <w:ilvl w:val="0"/>
          <w:numId w:val="7"/>
        </w:numPr>
        <w:tabs>
          <w:tab w:val="left" w:pos="2835"/>
        </w:tabs>
        <w:jc w:val="both"/>
        <w:rPr>
          <w:rFonts w:asciiTheme="minorHAnsi" w:hAnsiTheme="minorHAnsi"/>
          <w:b/>
          <w:lang w:val="en-GB"/>
        </w:rPr>
      </w:pPr>
      <w:r w:rsidRPr="00B0733E">
        <w:rPr>
          <w:rFonts w:asciiTheme="minorHAnsi" w:hAnsiTheme="minorHAnsi"/>
          <w:b/>
          <w:lang w:val="en-GB"/>
        </w:rPr>
        <w:t>Purpose</w:t>
      </w:r>
    </w:p>
    <w:p w:rsidR="00300372" w:rsidRPr="00B0733E" w:rsidRDefault="00523A22" w:rsidP="00444196">
      <w:pPr>
        <w:tabs>
          <w:tab w:val="left" w:pos="2835"/>
        </w:tabs>
        <w:jc w:val="both"/>
        <w:rPr>
          <w:rFonts w:asciiTheme="minorHAnsi" w:hAnsiTheme="minorHAnsi"/>
          <w:lang w:val="en-GB"/>
        </w:rPr>
      </w:pPr>
      <w:r w:rsidRPr="00B0733E">
        <w:rPr>
          <w:rFonts w:asciiTheme="minorHAnsi" w:hAnsiTheme="minorHAnsi"/>
          <w:lang w:val="en-GB"/>
        </w:rPr>
        <w:t xml:space="preserve">This policy </w:t>
      </w:r>
      <w:r w:rsidR="006811B3">
        <w:rPr>
          <w:rFonts w:asciiTheme="minorHAnsi" w:hAnsiTheme="minorHAnsi"/>
          <w:lang w:val="en-GB"/>
        </w:rPr>
        <w:t xml:space="preserve">sets out </w:t>
      </w:r>
      <w:r w:rsidR="00FA3CAC" w:rsidRPr="00B0733E">
        <w:rPr>
          <w:rFonts w:asciiTheme="minorHAnsi" w:hAnsiTheme="minorHAnsi"/>
          <w:lang w:val="en-GB"/>
        </w:rPr>
        <w:t>student’s fee liability, payment options and sanctions</w:t>
      </w:r>
      <w:r w:rsidR="006811B3">
        <w:rPr>
          <w:rFonts w:asciiTheme="minorHAnsi" w:hAnsiTheme="minorHAnsi"/>
          <w:lang w:val="en-GB"/>
        </w:rPr>
        <w:t xml:space="preserve"> for</w:t>
      </w:r>
      <w:r w:rsidR="00FA3CAC" w:rsidRPr="00B0733E">
        <w:rPr>
          <w:rFonts w:asciiTheme="minorHAnsi" w:hAnsiTheme="minorHAnsi"/>
          <w:lang w:val="en-GB"/>
        </w:rPr>
        <w:t xml:space="preserve"> late payment or non-payment</w:t>
      </w:r>
      <w:r w:rsidR="00B0733E">
        <w:rPr>
          <w:rFonts w:asciiTheme="minorHAnsi" w:hAnsiTheme="minorHAnsi"/>
          <w:lang w:val="en-GB"/>
        </w:rPr>
        <w:t xml:space="preserve"> of fees</w:t>
      </w:r>
      <w:r w:rsidR="00FA3CAC" w:rsidRPr="00B0733E">
        <w:rPr>
          <w:rFonts w:asciiTheme="minorHAnsi" w:hAnsiTheme="minorHAnsi"/>
          <w:lang w:val="en-GB"/>
        </w:rPr>
        <w:t>.</w:t>
      </w:r>
      <w:r w:rsidR="006811B3">
        <w:rPr>
          <w:rFonts w:asciiTheme="minorHAnsi" w:hAnsiTheme="minorHAnsi"/>
          <w:lang w:val="en-GB"/>
        </w:rPr>
        <w:t xml:space="preserve"> Information regarding these matters is available at the University’s website www.nuigalway.ie/fees</w:t>
      </w:r>
    </w:p>
    <w:p w:rsidR="00784272" w:rsidRPr="00B0733E" w:rsidRDefault="00784272" w:rsidP="00C50D72">
      <w:pPr>
        <w:tabs>
          <w:tab w:val="left" w:pos="2835"/>
        </w:tabs>
        <w:jc w:val="both"/>
        <w:rPr>
          <w:rFonts w:asciiTheme="minorHAnsi" w:hAnsiTheme="minorHAnsi"/>
          <w:lang w:val="en-GB"/>
        </w:rPr>
      </w:pPr>
    </w:p>
    <w:p w:rsidR="00C460CA" w:rsidRPr="00B0733E" w:rsidRDefault="00523A22" w:rsidP="00FA3CAC">
      <w:pPr>
        <w:pStyle w:val="ListParagraph"/>
        <w:numPr>
          <w:ilvl w:val="0"/>
          <w:numId w:val="7"/>
        </w:numPr>
        <w:tabs>
          <w:tab w:val="left" w:pos="2835"/>
        </w:tabs>
        <w:jc w:val="both"/>
        <w:rPr>
          <w:rFonts w:asciiTheme="minorHAnsi" w:hAnsiTheme="minorHAnsi"/>
          <w:b/>
          <w:lang w:val="en-GB"/>
        </w:rPr>
      </w:pPr>
      <w:r w:rsidRPr="00B0733E">
        <w:rPr>
          <w:rFonts w:asciiTheme="minorHAnsi" w:hAnsiTheme="minorHAnsi"/>
          <w:b/>
          <w:lang w:val="en-GB"/>
        </w:rPr>
        <w:t>Description</w:t>
      </w:r>
    </w:p>
    <w:p w:rsidR="00FA3CAC" w:rsidRPr="00B0733E" w:rsidRDefault="00523A22" w:rsidP="00FA3CAC">
      <w:pPr>
        <w:pStyle w:val="ListParagraph"/>
        <w:numPr>
          <w:ilvl w:val="0"/>
          <w:numId w:val="13"/>
        </w:numPr>
        <w:tabs>
          <w:tab w:val="left" w:pos="2835"/>
        </w:tabs>
        <w:jc w:val="both"/>
        <w:rPr>
          <w:rFonts w:asciiTheme="minorHAnsi" w:hAnsiTheme="minorHAnsi"/>
          <w:lang w:val="en-GB"/>
        </w:rPr>
      </w:pPr>
      <w:r w:rsidRPr="00B0733E">
        <w:rPr>
          <w:rFonts w:asciiTheme="minorHAnsi" w:hAnsiTheme="minorHAnsi"/>
          <w:lang w:val="en-GB"/>
        </w:rPr>
        <w:t xml:space="preserve">Students are </w:t>
      </w:r>
      <w:r w:rsidRPr="00B0733E">
        <w:rPr>
          <w:rFonts w:asciiTheme="minorHAnsi" w:hAnsiTheme="minorHAnsi"/>
          <w:b/>
          <w:i/>
          <w:lang w:val="en-GB"/>
        </w:rPr>
        <w:t xml:space="preserve">liable </w:t>
      </w:r>
      <w:r w:rsidRPr="00B0733E">
        <w:rPr>
          <w:rFonts w:asciiTheme="minorHAnsi" w:hAnsiTheme="minorHAnsi"/>
          <w:lang w:val="en-GB"/>
        </w:rPr>
        <w:t xml:space="preserve">for </w:t>
      </w:r>
      <w:r w:rsidRPr="00B0733E">
        <w:rPr>
          <w:rFonts w:asciiTheme="minorHAnsi" w:hAnsiTheme="minorHAnsi"/>
          <w:b/>
          <w:i/>
          <w:lang w:val="en-GB"/>
        </w:rPr>
        <w:t>all elements</w:t>
      </w:r>
      <w:r w:rsidRPr="00B0733E">
        <w:rPr>
          <w:rFonts w:asciiTheme="minorHAnsi" w:hAnsiTheme="minorHAnsi"/>
          <w:lang w:val="en-GB"/>
        </w:rPr>
        <w:t xml:space="preserve"> of the fee</w:t>
      </w:r>
      <w:r w:rsidR="00FA3CAC" w:rsidRPr="00B0733E">
        <w:rPr>
          <w:rFonts w:asciiTheme="minorHAnsi" w:hAnsiTheme="minorHAnsi"/>
          <w:lang w:val="en-GB"/>
        </w:rPr>
        <w:t xml:space="preserve"> </w:t>
      </w:r>
      <w:r w:rsidRPr="00B0733E">
        <w:rPr>
          <w:rFonts w:asciiTheme="minorHAnsi" w:hAnsiTheme="minorHAnsi"/>
          <w:lang w:val="en-GB"/>
        </w:rPr>
        <w:t>i.e. the Student Contribution</w:t>
      </w:r>
      <w:r w:rsidR="00951235">
        <w:rPr>
          <w:rStyle w:val="FootnoteReference"/>
          <w:rFonts w:asciiTheme="minorHAnsi" w:hAnsiTheme="minorHAnsi"/>
          <w:lang w:val="en-GB"/>
        </w:rPr>
        <w:footnoteReference w:id="1"/>
      </w:r>
      <w:r w:rsidRPr="00B0733E">
        <w:rPr>
          <w:rFonts w:asciiTheme="minorHAnsi" w:hAnsiTheme="minorHAnsi"/>
          <w:lang w:val="en-GB"/>
        </w:rPr>
        <w:t>, the Tuition Fee and the Student Levy,  at the time of registration.</w:t>
      </w:r>
    </w:p>
    <w:p w:rsidR="00CF2EC5" w:rsidRPr="00B0733E" w:rsidRDefault="00CF2EC5" w:rsidP="00FA3CAC">
      <w:pPr>
        <w:pStyle w:val="ListParagraph"/>
        <w:numPr>
          <w:ilvl w:val="0"/>
          <w:numId w:val="13"/>
        </w:numPr>
        <w:tabs>
          <w:tab w:val="left" w:pos="2835"/>
        </w:tabs>
        <w:jc w:val="both"/>
        <w:rPr>
          <w:rFonts w:asciiTheme="minorHAnsi" w:hAnsiTheme="minorHAnsi"/>
          <w:lang w:val="en-GB"/>
        </w:rPr>
      </w:pPr>
      <w:r w:rsidRPr="00B0733E">
        <w:rPr>
          <w:rFonts w:asciiTheme="minorHAnsi" w:hAnsiTheme="minorHAnsi"/>
          <w:lang w:val="en-GB"/>
        </w:rPr>
        <w:t>Students will be advised of their fee liability online</w:t>
      </w:r>
      <w:r w:rsidR="006811B3">
        <w:rPr>
          <w:rFonts w:asciiTheme="minorHAnsi" w:hAnsiTheme="minorHAnsi"/>
          <w:lang w:val="en-GB"/>
        </w:rPr>
        <w:t xml:space="preserve"> at the point of registration (E&amp;OE)</w:t>
      </w:r>
      <w:r w:rsidRPr="00B0733E">
        <w:rPr>
          <w:rFonts w:asciiTheme="minorHAnsi" w:hAnsiTheme="minorHAnsi"/>
          <w:lang w:val="en-GB"/>
        </w:rPr>
        <w:t>.</w:t>
      </w:r>
    </w:p>
    <w:p w:rsidR="00B953FA" w:rsidRPr="00B0733E" w:rsidRDefault="00FA3CAC" w:rsidP="00C50D72">
      <w:pPr>
        <w:pStyle w:val="ListParagraph"/>
        <w:numPr>
          <w:ilvl w:val="0"/>
          <w:numId w:val="13"/>
        </w:numPr>
        <w:jc w:val="both"/>
        <w:rPr>
          <w:rFonts w:asciiTheme="minorHAnsi" w:hAnsiTheme="minorHAnsi"/>
          <w:lang w:val="en-GB"/>
        </w:rPr>
      </w:pPr>
      <w:r w:rsidRPr="00B0733E">
        <w:rPr>
          <w:rFonts w:asciiTheme="minorHAnsi" w:hAnsiTheme="minorHAnsi"/>
          <w:lang w:val="en-GB"/>
        </w:rPr>
        <w:t>The Student L</w:t>
      </w:r>
      <w:r w:rsidR="00523A22" w:rsidRPr="00B0733E">
        <w:rPr>
          <w:rFonts w:asciiTheme="minorHAnsi" w:hAnsiTheme="minorHAnsi"/>
          <w:lang w:val="en-GB"/>
        </w:rPr>
        <w:t xml:space="preserve">evy is </w:t>
      </w:r>
      <w:r w:rsidRPr="00B0733E">
        <w:rPr>
          <w:rFonts w:asciiTheme="minorHAnsi" w:hAnsiTheme="minorHAnsi"/>
          <w:lang w:val="en-GB"/>
        </w:rPr>
        <w:t>payable</w:t>
      </w:r>
      <w:r w:rsidR="00523A22" w:rsidRPr="00B0733E">
        <w:rPr>
          <w:rFonts w:asciiTheme="minorHAnsi" w:hAnsiTheme="minorHAnsi"/>
          <w:lang w:val="en-GB"/>
        </w:rPr>
        <w:t xml:space="preserve"> in full</w:t>
      </w:r>
      <w:r w:rsidRPr="00B0733E">
        <w:rPr>
          <w:rFonts w:asciiTheme="minorHAnsi" w:hAnsiTheme="minorHAnsi"/>
          <w:lang w:val="en-GB"/>
        </w:rPr>
        <w:t xml:space="preserve"> by</w:t>
      </w:r>
      <w:r w:rsidR="00523A22" w:rsidRPr="00B0733E">
        <w:rPr>
          <w:rFonts w:asciiTheme="minorHAnsi" w:hAnsiTheme="minorHAnsi"/>
          <w:lang w:val="en-GB"/>
        </w:rPr>
        <w:t xml:space="preserve"> all students at registration and may be paid online.</w:t>
      </w:r>
    </w:p>
    <w:p w:rsidR="00523A22" w:rsidRPr="00B0733E" w:rsidRDefault="00523A22" w:rsidP="00B0733E">
      <w:pPr>
        <w:pStyle w:val="ListParagraph"/>
        <w:numPr>
          <w:ilvl w:val="0"/>
          <w:numId w:val="13"/>
        </w:numPr>
        <w:jc w:val="both"/>
        <w:rPr>
          <w:rFonts w:asciiTheme="minorHAnsi" w:hAnsiTheme="minorHAnsi"/>
          <w:lang w:val="en-GB"/>
        </w:rPr>
      </w:pPr>
      <w:r w:rsidRPr="00B0733E">
        <w:rPr>
          <w:rFonts w:asciiTheme="minorHAnsi" w:hAnsiTheme="minorHAnsi"/>
          <w:lang w:val="en-GB"/>
        </w:rPr>
        <w:t xml:space="preserve">All EU students who do not qualify for a SUSI/local authority grant or the Government’s free tuition fee scheme may avail of the option to pay their fees in two instalments. </w:t>
      </w:r>
    </w:p>
    <w:p w:rsidR="0074750A" w:rsidRPr="00B0733E" w:rsidRDefault="00FA3CAC" w:rsidP="00C50D72">
      <w:pPr>
        <w:pStyle w:val="ListParagraph"/>
        <w:numPr>
          <w:ilvl w:val="1"/>
          <w:numId w:val="13"/>
        </w:numPr>
        <w:jc w:val="both"/>
        <w:rPr>
          <w:rFonts w:asciiTheme="minorHAnsi" w:hAnsiTheme="minorHAnsi"/>
          <w:lang w:val="en-GB"/>
        </w:rPr>
      </w:pPr>
      <w:r w:rsidRPr="00B0733E">
        <w:rPr>
          <w:rFonts w:asciiTheme="minorHAnsi" w:hAnsiTheme="minorHAnsi"/>
          <w:lang w:val="en-GB"/>
        </w:rPr>
        <w:t>EU U</w:t>
      </w:r>
      <w:r w:rsidR="00523A22" w:rsidRPr="00B0733E">
        <w:rPr>
          <w:rFonts w:asciiTheme="minorHAnsi" w:hAnsiTheme="minorHAnsi"/>
          <w:lang w:val="en-GB"/>
        </w:rPr>
        <w:t>ndergraduates must have paid the first instalment of their fees (</w:t>
      </w:r>
      <w:r w:rsidR="00951235">
        <w:rPr>
          <w:rFonts w:asciiTheme="minorHAnsi" w:hAnsiTheme="minorHAnsi"/>
          <w:lang w:val="en-GB"/>
        </w:rPr>
        <w:t xml:space="preserve">the full </w:t>
      </w:r>
      <w:r w:rsidR="00523A22" w:rsidRPr="00B0733E">
        <w:rPr>
          <w:rFonts w:asciiTheme="minorHAnsi" w:hAnsiTheme="minorHAnsi"/>
          <w:lang w:val="en-GB"/>
        </w:rPr>
        <w:t>student levy plus 50% of the contribution plus 50% of the tuition fee) no later than the 31</w:t>
      </w:r>
      <w:r w:rsidR="00523A22" w:rsidRPr="00B0733E">
        <w:rPr>
          <w:rFonts w:asciiTheme="minorHAnsi" w:hAnsiTheme="minorHAnsi"/>
          <w:vertAlign w:val="superscript"/>
          <w:lang w:val="en-GB"/>
        </w:rPr>
        <w:t>st</w:t>
      </w:r>
      <w:r w:rsidR="00523A22" w:rsidRPr="00B0733E">
        <w:rPr>
          <w:rFonts w:asciiTheme="minorHAnsi" w:hAnsiTheme="minorHAnsi"/>
          <w:lang w:val="en-GB"/>
        </w:rPr>
        <w:t xml:space="preserve"> October</w:t>
      </w:r>
      <w:r w:rsidR="00523A22" w:rsidRPr="00B0733E">
        <w:rPr>
          <w:rStyle w:val="FootnoteReference"/>
          <w:rFonts w:asciiTheme="minorHAnsi" w:hAnsiTheme="minorHAnsi"/>
          <w:lang w:val="en-GB"/>
        </w:rPr>
        <w:footnoteReference w:id="2"/>
      </w:r>
      <w:r w:rsidR="00523A22" w:rsidRPr="00B0733E">
        <w:rPr>
          <w:rFonts w:asciiTheme="minorHAnsi" w:hAnsiTheme="minorHAnsi"/>
          <w:lang w:val="en-GB"/>
        </w:rPr>
        <w:t>. The second instalment of fees must be paid no later than the 31</w:t>
      </w:r>
      <w:r w:rsidR="00523A22" w:rsidRPr="00B0733E">
        <w:rPr>
          <w:rFonts w:asciiTheme="minorHAnsi" w:hAnsiTheme="minorHAnsi"/>
          <w:vertAlign w:val="superscript"/>
          <w:lang w:val="en-GB"/>
        </w:rPr>
        <w:t>st</w:t>
      </w:r>
      <w:r w:rsidR="00523A22" w:rsidRPr="00B0733E">
        <w:rPr>
          <w:rFonts w:asciiTheme="minorHAnsi" w:hAnsiTheme="minorHAnsi"/>
          <w:lang w:val="en-GB"/>
        </w:rPr>
        <w:t xml:space="preserve"> January</w:t>
      </w:r>
      <w:r w:rsidR="00951235">
        <w:rPr>
          <w:rStyle w:val="FootnoteReference"/>
          <w:rFonts w:asciiTheme="minorHAnsi" w:hAnsiTheme="minorHAnsi"/>
          <w:lang w:val="en-GB"/>
        </w:rPr>
        <w:footnoteReference w:id="3"/>
      </w:r>
    </w:p>
    <w:p w:rsidR="0074750A" w:rsidRPr="00951235" w:rsidRDefault="00523A22" w:rsidP="00FA3CAC">
      <w:pPr>
        <w:pStyle w:val="ListParagraph"/>
        <w:numPr>
          <w:ilvl w:val="0"/>
          <w:numId w:val="13"/>
        </w:numPr>
        <w:jc w:val="both"/>
        <w:rPr>
          <w:rFonts w:asciiTheme="minorHAnsi" w:hAnsiTheme="minorHAnsi"/>
          <w:lang w:val="en-GB"/>
        </w:rPr>
      </w:pPr>
      <w:r w:rsidRPr="00951235">
        <w:rPr>
          <w:rFonts w:asciiTheme="minorHAnsi" w:hAnsiTheme="minorHAnsi"/>
          <w:lang w:val="en-GB"/>
        </w:rPr>
        <w:t>EU Postgraduate students must have paid the first instalment of their fees (</w:t>
      </w:r>
      <w:r w:rsidR="00951235" w:rsidRPr="00951235">
        <w:rPr>
          <w:rFonts w:asciiTheme="minorHAnsi" w:hAnsiTheme="minorHAnsi"/>
          <w:lang w:val="en-GB"/>
        </w:rPr>
        <w:t xml:space="preserve">the full </w:t>
      </w:r>
      <w:r w:rsidRPr="00951235">
        <w:rPr>
          <w:rFonts w:asciiTheme="minorHAnsi" w:hAnsiTheme="minorHAnsi"/>
          <w:lang w:val="en-GB"/>
        </w:rPr>
        <w:t>student levy plus 50% of the tuition fee) no later than the 31</w:t>
      </w:r>
      <w:r w:rsidRPr="00951235">
        <w:rPr>
          <w:rFonts w:asciiTheme="minorHAnsi" w:hAnsiTheme="minorHAnsi"/>
          <w:vertAlign w:val="superscript"/>
          <w:lang w:val="en-GB"/>
        </w:rPr>
        <w:t>st</w:t>
      </w:r>
      <w:r w:rsidRPr="00951235">
        <w:rPr>
          <w:rFonts w:asciiTheme="minorHAnsi" w:hAnsiTheme="minorHAnsi"/>
          <w:lang w:val="en-GB"/>
        </w:rPr>
        <w:t xml:space="preserve"> October</w:t>
      </w:r>
      <w:r w:rsidR="00951235" w:rsidRPr="00951235">
        <w:rPr>
          <w:rFonts w:asciiTheme="minorHAnsi" w:hAnsiTheme="minorHAnsi"/>
          <w:vertAlign w:val="superscript"/>
          <w:lang w:val="en-GB"/>
        </w:rPr>
        <w:t>2</w:t>
      </w:r>
      <w:r w:rsidRPr="00951235">
        <w:rPr>
          <w:rFonts w:asciiTheme="minorHAnsi" w:hAnsiTheme="minorHAnsi"/>
          <w:lang w:val="en-GB"/>
        </w:rPr>
        <w:t>. The second instalment of fees must be paid no later than the 31</w:t>
      </w:r>
      <w:r w:rsidRPr="00951235">
        <w:rPr>
          <w:rFonts w:asciiTheme="minorHAnsi" w:hAnsiTheme="minorHAnsi"/>
          <w:vertAlign w:val="superscript"/>
          <w:lang w:val="en-GB"/>
        </w:rPr>
        <w:t>st</w:t>
      </w:r>
      <w:r w:rsidRPr="00951235">
        <w:rPr>
          <w:rFonts w:asciiTheme="minorHAnsi" w:hAnsiTheme="minorHAnsi"/>
          <w:lang w:val="en-GB"/>
        </w:rPr>
        <w:t xml:space="preserve"> January</w:t>
      </w:r>
      <w:r w:rsidR="00951235" w:rsidRPr="00951235">
        <w:rPr>
          <w:rFonts w:asciiTheme="minorHAnsi" w:hAnsiTheme="minorHAnsi"/>
          <w:vertAlign w:val="superscript"/>
          <w:lang w:val="en-GB"/>
        </w:rPr>
        <w:t>3</w:t>
      </w:r>
      <w:r w:rsidR="00951235">
        <w:rPr>
          <w:rFonts w:asciiTheme="minorHAnsi" w:hAnsiTheme="minorHAnsi"/>
          <w:lang w:val="en-GB"/>
        </w:rPr>
        <w:t>.</w:t>
      </w:r>
    </w:p>
    <w:p w:rsidR="006811B3" w:rsidRDefault="00FA3CAC" w:rsidP="00FA3CAC">
      <w:pPr>
        <w:pStyle w:val="ListParagraph"/>
        <w:numPr>
          <w:ilvl w:val="0"/>
          <w:numId w:val="13"/>
        </w:numPr>
        <w:jc w:val="both"/>
        <w:rPr>
          <w:rFonts w:asciiTheme="minorHAnsi" w:hAnsiTheme="minorHAnsi"/>
          <w:lang w:val="en-GB"/>
        </w:rPr>
      </w:pPr>
      <w:r w:rsidRPr="00951235">
        <w:rPr>
          <w:rFonts w:asciiTheme="minorHAnsi" w:hAnsiTheme="minorHAnsi"/>
          <w:lang w:val="en-GB"/>
        </w:rPr>
        <w:t>Non-</w:t>
      </w:r>
      <w:r w:rsidR="00523A22" w:rsidRPr="00951235">
        <w:rPr>
          <w:rFonts w:asciiTheme="minorHAnsi" w:hAnsiTheme="minorHAnsi"/>
          <w:lang w:val="en-GB"/>
        </w:rPr>
        <w:t>EU</w:t>
      </w:r>
      <w:r w:rsidR="00523A22" w:rsidRPr="00951235">
        <w:rPr>
          <w:rFonts w:asciiTheme="minorHAnsi" w:hAnsiTheme="minorHAnsi"/>
          <w:i/>
          <w:lang w:val="en-GB"/>
        </w:rPr>
        <w:t xml:space="preserve"> </w:t>
      </w:r>
      <w:r w:rsidR="00523A22" w:rsidRPr="00951235">
        <w:rPr>
          <w:rFonts w:asciiTheme="minorHAnsi" w:hAnsiTheme="minorHAnsi"/>
          <w:lang w:val="en-GB"/>
        </w:rPr>
        <w:t>students are required to pay their fees in full</w:t>
      </w:r>
      <w:r w:rsidR="00523A22" w:rsidRPr="00951235">
        <w:rPr>
          <w:rFonts w:asciiTheme="minorHAnsi" w:hAnsiTheme="minorHAnsi"/>
          <w:b/>
          <w:lang w:val="en-GB"/>
        </w:rPr>
        <w:t xml:space="preserve"> prior</w:t>
      </w:r>
      <w:r w:rsidRPr="00951235">
        <w:rPr>
          <w:rFonts w:asciiTheme="minorHAnsi" w:hAnsiTheme="minorHAnsi"/>
          <w:lang w:val="en-GB"/>
        </w:rPr>
        <w:t xml:space="preserve"> to registration. </w:t>
      </w:r>
    </w:p>
    <w:p w:rsidR="006A56B8" w:rsidRDefault="00523A22">
      <w:pPr>
        <w:pStyle w:val="ListParagraph"/>
        <w:numPr>
          <w:ilvl w:val="0"/>
          <w:numId w:val="13"/>
        </w:numPr>
        <w:jc w:val="both"/>
        <w:rPr>
          <w:rFonts w:asciiTheme="minorHAnsi" w:hAnsiTheme="minorHAnsi"/>
          <w:lang w:val="en-GB"/>
        </w:rPr>
      </w:pPr>
      <w:r w:rsidRPr="00B0733E">
        <w:rPr>
          <w:rFonts w:asciiTheme="minorHAnsi" w:hAnsiTheme="minorHAnsi"/>
          <w:lang w:val="en-GB"/>
        </w:rPr>
        <w:t xml:space="preserve">Where a student is experiencing financial difficulty/hardship they </w:t>
      </w:r>
      <w:r w:rsidR="006811B3">
        <w:rPr>
          <w:rFonts w:asciiTheme="minorHAnsi" w:hAnsiTheme="minorHAnsi"/>
          <w:lang w:val="en-GB"/>
        </w:rPr>
        <w:t xml:space="preserve">may </w:t>
      </w:r>
      <w:r w:rsidRPr="00B0733E">
        <w:rPr>
          <w:rFonts w:asciiTheme="minorHAnsi" w:hAnsiTheme="minorHAnsi"/>
          <w:lang w:val="en-GB"/>
        </w:rPr>
        <w:t xml:space="preserve">apply to the </w:t>
      </w:r>
      <w:r w:rsidR="001D00E2">
        <w:rPr>
          <w:rFonts w:asciiTheme="minorHAnsi" w:hAnsiTheme="minorHAnsi"/>
          <w:lang w:val="en-GB"/>
        </w:rPr>
        <w:t>Student Hardship Fund</w:t>
      </w:r>
      <w:r w:rsidR="006811B3">
        <w:rPr>
          <w:rFonts w:asciiTheme="minorHAnsi" w:hAnsiTheme="minorHAnsi"/>
          <w:lang w:val="en-GB"/>
        </w:rPr>
        <w:t xml:space="preserve"> for review. Alternative payment arrangements may be agreed where appropriate.</w:t>
      </w:r>
      <w:r w:rsidR="00530D32">
        <w:rPr>
          <w:rFonts w:asciiTheme="minorHAnsi" w:hAnsiTheme="minorHAnsi"/>
          <w:lang w:val="en-GB"/>
        </w:rPr>
        <w:t xml:space="preserve"> </w:t>
      </w:r>
    </w:p>
    <w:p w:rsidR="009630EE" w:rsidRPr="006811B3" w:rsidRDefault="00523A22" w:rsidP="00C50D72">
      <w:pPr>
        <w:jc w:val="both"/>
        <w:rPr>
          <w:rFonts w:asciiTheme="minorHAnsi" w:hAnsiTheme="minorHAnsi"/>
          <w:b/>
          <w:lang w:val="en-GB"/>
        </w:rPr>
      </w:pPr>
      <w:r w:rsidRPr="006811B3">
        <w:rPr>
          <w:rFonts w:asciiTheme="minorHAnsi" w:hAnsiTheme="minorHAnsi"/>
          <w:b/>
          <w:lang w:val="en-GB"/>
        </w:rPr>
        <w:t>2.1 Approach</w:t>
      </w:r>
    </w:p>
    <w:p w:rsidR="00160748" w:rsidRDefault="00523A22" w:rsidP="00FA3CAC">
      <w:pPr>
        <w:jc w:val="both"/>
        <w:rPr>
          <w:rFonts w:asciiTheme="minorHAnsi" w:hAnsiTheme="minorHAnsi"/>
          <w:lang w:val="en-GB"/>
        </w:rPr>
      </w:pPr>
      <w:r w:rsidRPr="006811B3">
        <w:rPr>
          <w:rFonts w:asciiTheme="minorHAnsi" w:hAnsiTheme="minorHAnsi"/>
          <w:lang w:val="en-GB"/>
        </w:rPr>
        <w:t xml:space="preserve">The Fees office </w:t>
      </w:r>
      <w:r w:rsidR="006811B3">
        <w:rPr>
          <w:rFonts w:asciiTheme="minorHAnsi" w:hAnsiTheme="minorHAnsi"/>
          <w:lang w:val="en-GB"/>
        </w:rPr>
        <w:t xml:space="preserve">will actively pursue payments </w:t>
      </w:r>
      <w:r w:rsidRPr="006811B3">
        <w:rPr>
          <w:rFonts w:asciiTheme="minorHAnsi" w:hAnsiTheme="minorHAnsi"/>
          <w:lang w:val="en-GB"/>
        </w:rPr>
        <w:t>throughout the academic year</w:t>
      </w:r>
      <w:r w:rsidR="00160748">
        <w:rPr>
          <w:rFonts w:asciiTheme="minorHAnsi" w:hAnsiTheme="minorHAnsi"/>
          <w:lang w:val="en-GB"/>
        </w:rPr>
        <w:t>.</w:t>
      </w:r>
      <w:r w:rsidRPr="006811B3">
        <w:rPr>
          <w:rFonts w:asciiTheme="minorHAnsi" w:hAnsiTheme="minorHAnsi"/>
          <w:lang w:val="en-GB"/>
        </w:rPr>
        <w:t xml:space="preserve"> </w:t>
      </w:r>
    </w:p>
    <w:p w:rsidR="000B2CE2" w:rsidRDefault="000B2CE2" w:rsidP="00FA3CAC">
      <w:pPr>
        <w:jc w:val="both"/>
        <w:rPr>
          <w:rFonts w:asciiTheme="minorHAnsi" w:hAnsiTheme="minorHAnsi"/>
          <w:lang w:val="en-GB"/>
        </w:rPr>
      </w:pPr>
      <w:r w:rsidRPr="006811B3">
        <w:rPr>
          <w:rFonts w:asciiTheme="minorHAnsi" w:hAnsiTheme="minorHAnsi"/>
          <w:lang w:val="en-GB"/>
        </w:rPr>
        <w:t xml:space="preserve">Students have </w:t>
      </w:r>
      <w:r w:rsidR="009E0F8D" w:rsidRPr="006811B3">
        <w:rPr>
          <w:rFonts w:asciiTheme="minorHAnsi" w:hAnsiTheme="minorHAnsi"/>
          <w:lang w:val="en-GB"/>
        </w:rPr>
        <w:t xml:space="preserve">online </w:t>
      </w:r>
      <w:r w:rsidRPr="006811B3">
        <w:rPr>
          <w:rFonts w:asciiTheme="minorHAnsi" w:hAnsiTheme="minorHAnsi"/>
          <w:lang w:val="en-GB"/>
        </w:rPr>
        <w:t xml:space="preserve"> access to their account</w:t>
      </w:r>
      <w:r>
        <w:rPr>
          <w:rFonts w:asciiTheme="minorHAnsi" w:hAnsiTheme="minorHAnsi"/>
          <w:lang w:val="en-GB"/>
        </w:rPr>
        <w:t>s</w:t>
      </w:r>
      <w:r w:rsidR="00F80E0C">
        <w:rPr>
          <w:rFonts w:asciiTheme="minorHAnsi" w:hAnsiTheme="minorHAnsi"/>
          <w:lang w:val="en-GB"/>
        </w:rPr>
        <w:t>.</w:t>
      </w:r>
    </w:p>
    <w:p w:rsidR="00710389" w:rsidRPr="00710389" w:rsidRDefault="00710389" w:rsidP="00710389">
      <w:pPr>
        <w:jc w:val="both"/>
        <w:rPr>
          <w:rFonts w:asciiTheme="minorHAnsi" w:hAnsiTheme="minorHAnsi"/>
          <w:lang w:val="en-GB"/>
        </w:rPr>
      </w:pPr>
      <w:r w:rsidRPr="00710389">
        <w:rPr>
          <w:rFonts w:asciiTheme="minorHAnsi" w:hAnsiTheme="minorHAnsi"/>
          <w:lang w:val="en-GB"/>
        </w:rPr>
        <w:t>The University reserves the right to have a third party conduct the collection of fees on behalf of the University.</w:t>
      </w:r>
    </w:p>
    <w:p w:rsidR="006811B3" w:rsidRPr="00080F74" w:rsidRDefault="00080F74" w:rsidP="00FA3CAC">
      <w:pPr>
        <w:jc w:val="both"/>
        <w:rPr>
          <w:lang w:val="en-GB"/>
        </w:rPr>
      </w:pPr>
      <w:r>
        <w:rPr>
          <w:lang w:val="en-GB"/>
        </w:rPr>
        <w:t xml:space="preserve">In line with the express provisions of the Student Data Usage Policy, the University may seek to make contact with the student in relation to any fee and registration issues using their home contact details or via any parent, guardian, or sponsor contact details furnished. Where fees are being funded (either partly or fully) from an external funder, the University may also make contact with any such external funder strictly in line with the Student Data Usage Policy. </w:t>
      </w:r>
    </w:p>
    <w:p w:rsidR="00080F74" w:rsidRDefault="00080F74" w:rsidP="00FA3CAC">
      <w:pPr>
        <w:pStyle w:val="ListParagraph"/>
        <w:ind w:left="0"/>
        <w:jc w:val="both"/>
        <w:rPr>
          <w:rFonts w:asciiTheme="minorHAnsi" w:hAnsiTheme="minorHAnsi"/>
          <w:b/>
          <w:lang w:val="en-GB"/>
        </w:rPr>
      </w:pPr>
    </w:p>
    <w:p w:rsidR="00275877" w:rsidRPr="00B0733E" w:rsidRDefault="00523A22" w:rsidP="00FA3CAC">
      <w:pPr>
        <w:pStyle w:val="ListParagraph"/>
        <w:ind w:left="0"/>
        <w:jc w:val="both"/>
        <w:rPr>
          <w:rFonts w:asciiTheme="minorHAnsi" w:hAnsiTheme="minorHAnsi"/>
          <w:b/>
          <w:lang w:val="en-GB"/>
        </w:rPr>
      </w:pPr>
      <w:r w:rsidRPr="00B0733E">
        <w:rPr>
          <w:rFonts w:asciiTheme="minorHAnsi" w:hAnsiTheme="minorHAnsi"/>
          <w:b/>
          <w:lang w:val="en-GB"/>
        </w:rPr>
        <w:t>2.2 Sanctions</w:t>
      </w:r>
    </w:p>
    <w:p w:rsidR="00F271CF" w:rsidRPr="00B0733E" w:rsidRDefault="00523A22" w:rsidP="00C50D72">
      <w:pPr>
        <w:jc w:val="both"/>
        <w:rPr>
          <w:rFonts w:asciiTheme="minorHAnsi" w:hAnsiTheme="minorHAnsi"/>
          <w:lang w:val="en-GB"/>
        </w:rPr>
      </w:pPr>
      <w:r w:rsidRPr="00B0733E">
        <w:rPr>
          <w:rFonts w:asciiTheme="minorHAnsi" w:hAnsiTheme="minorHAnsi"/>
          <w:lang w:val="en-GB"/>
        </w:rPr>
        <w:t xml:space="preserve">Where a student does not pay their fees by the </w:t>
      </w:r>
      <w:r w:rsidR="00951235">
        <w:rPr>
          <w:rFonts w:asciiTheme="minorHAnsi" w:hAnsiTheme="minorHAnsi"/>
          <w:lang w:val="en-GB"/>
        </w:rPr>
        <w:t>due dates</w:t>
      </w:r>
      <w:r w:rsidRPr="00B0733E">
        <w:rPr>
          <w:rFonts w:asciiTheme="minorHAnsi" w:hAnsiTheme="minorHAnsi"/>
          <w:lang w:val="en-GB"/>
        </w:rPr>
        <w:t xml:space="preserve"> the following sanctions apply:</w:t>
      </w:r>
    </w:p>
    <w:p w:rsidR="00F271CF" w:rsidRPr="00B0733E" w:rsidRDefault="00523A22" w:rsidP="00F271CF">
      <w:pPr>
        <w:pStyle w:val="ListParagraph"/>
        <w:numPr>
          <w:ilvl w:val="0"/>
          <w:numId w:val="15"/>
        </w:numPr>
        <w:jc w:val="both"/>
        <w:rPr>
          <w:rFonts w:asciiTheme="minorHAnsi" w:hAnsiTheme="minorHAnsi"/>
          <w:lang w:val="en-GB"/>
        </w:rPr>
      </w:pPr>
      <w:r w:rsidRPr="00B0733E">
        <w:rPr>
          <w:rFonts w:asciiTheme="minorHAnsi" w:hAnsiTheme="minorHAnsi"/>
          <w:lang w:val="en-GB"/>
        </w:rPr>
        <w:t xml:space="preserve">If the first instalment is not paid </w:t>
      </w:r>
      <w:r w:rsidR="00530D32">
        <w:rPr>
          <w:rFonts w:asciiTheme="minorHAnsi" w:hAnsiTheme="minorHAnsi"/>
          <w:lang w:val="en-GB"/>
        </w:rPr>
        <w:t xml:space="preserve">by the due date </w:t>
      </w:r>
      <w:r w:rsidRPr="00B0733E">
        <w:rPr>
          <w:rFonts w:asciiTheme="minorHAnsi" w:hAnsiTheme="minorHAnsi"/>
          <w:lang w:val="en-GB"/>
        </w:rPr>
        <w:t xml:space="preserve">a late payment fee will be applied. </w:t>
      </w:r>
    </w:p>
    <w:p w:rsidR="00523A22" w:rsidRPr="00530D32" w:rsidRDefault="00523A22" w:rsidP="00530D32">
      <w:pPr>
        <w:pStyle w:val="ListParagraph"/>
        <w:numPr>
          <w:ilvl w:val="0"/>
          <w:numId w:val="15"/>
        </w:numPr>
        <w:jc w:val="both"/>
        <w:rPr>
          <w:rFonts w:asciiTheme="minorHAnsi" w:hAnsiTheme="minorHAnsi"/>
          <w:lang w:val="en-GB"/>
        </w:rPr>
      </w:pPr>
      <w:r w:rsidRPr="00B0733E">
        <w:rPr>
          <w:rFonts w:asciiTheme="minorHAnsi" w:hAnsiTheme="minorHAnsi"/>
          <w:lang w:val="en-GB"/>
        </w:rPr>
        <w:lastRenderedPageBreak/>
        <w:t xml:space="preserve">If the second instalment is not paid by </w:t>
      </w:r>
      <w:r w:rsidR="00530D32">
        <w:rPr>
          <w:rFonts w:asciiTheme="minorHAnsi" w:hAnsiTheme="minorHAnsi"/>
          <w:lang w:val="en-GB"/>
        </w:rPr>
        <w:t>by the due date</w:t>
      </w:r>
      <w:r w:rsidRPr="00B0733E">
        <w:rPr>
          <w:rFonts w:asciiTheme="minorHAnsi" w:hAnsiTheme="minorHAnsi"/>
          <w:lang w:val="en-GB"/>
        </w:rPr>
        <w:t xml:space="preserve"> a late payment fee will be applied.</w:t>
      </w:r>
    </w:p>
    <w:p w:rsidR="00F56B5A" w:rsidRPr="00B0733E" w:rsidRDefault="00523A22" w:rsidP="00C50D72">
      <w:pPr>
        <w:pStyle w:val="ListParagraph"/>
        <w:numPr>
          <w:ilvl w:val="0"/>
          <w:numId w:val="15"/>
        </w:numPr>
        <w:jc w:val="both"/>
        <w:rPr>
          <w:rFonts w:asciiTheme="minorHAnsi" w:hAnsiTheme="minorHAnsi"/>
          <w:lang w:val="en-GB"/>
        </w:rPr>
      </w:pPr>
      <w:r w:rsidRPr="00B0733E">
        <w:rPr>
          <w:rFonts w:asciiTheme="minorHAnsi" w:hAnsiTheme="minorHAnsi"/>
          <w:lang w:val="en-GB"/>
        </w:rPr>
        <w:t>Late payment sanctions are cumulative.</w:t>
      </w:r>
    </w:p>
    <w:p w:rsidR="00F56B5A" w:rsidRPr="00B0733E" w:rsidRDefault="00523A22" w:rsidP="00C50D72">
      <w:pPr>
        <w:pStyle w:val="ListParagraph"/>
        <w:numPr>
          <w:ilvl w:val="0"/>
          <w:numId w:val="15"/>
        </w:numPr>
        <w:jc w:val="both"/>
        <w:rPr>
          <w:rFonts w:asciiTheme="minorHAnsi" w:hAnsiTheme="minorHAnsi"/>
          <w:lang w:val="en-GB"/>
        </w:rPr>
      </w:pPr>
      <w:r w:rsidRPr="00B0733E">
        <w:rPr>
          <w:rFonts w:asciiTheme="minorHAnsi" w:hAnsiTheme="minorHAnsi"/>
        </w:rPr>
        <w:t>Examination</w:t>
      </w:r>
      <w:r w:rsidRPr="00B0733E">
        <w:rPr>
          <w:rFonts w:asciiTheme="minorHAnsi" w:hAnsiTheme="minorHAnsi"/>
          <w:lang w:val="en-GB"/>
        </w:rPr>
        <w:t xml:space="preserve"> results will not be issued to students with outstanding </w:t>
      </w:r>
      <w:r w:rsidR="00530D32">
        <w:rPr>
          <w:rFonts w:asciiTheme="minorHAnsi" w:hAnsiTheme="minorHAnsi"/>
          <w:lang w:val="en-GB"/>
        </w:rPr>
        <w:t xml:space="preserve">fee </w:t>
      </w:r>
      <w:r w:rsidRPr="00B0733E">
        <w:rPr>
          <w:rFonts w:asciiTheme="minorHAnsi" w:hAnsiTheme="minorHAnsi"/>
          <w:lang w:val="en-GB"/>
        </w:rPr>
        <w:t>debt.</w:t>
      </w:r>
    </w:p>
    <w:p w:rsidR="006811B3" w:rsidRDefault="00160748" w:rsidP="00C50D72">
      <w:pPr>
        <w:pStyle w:val="ListParagraph"/>
        <w:numPr>
          <w:ilvl w:val="0"/>
          <w:numId w:val="15"/>
        </w:numPr>
        <w:jc w:val="both"/>
        <w:rPr>
          <w:rFonts w:asciiTheme="minorHAnsi" w:hAnsiTheme="minorHAnsi"/>
          <w:lang w:val="en-GB"/>
        </w:rPr>
      </w:pPr>
      <w:r>
        <w:rPr>
          <w:rFonts w:asciiTheme="minorHAnsi" w:hAnsiTheme="minorHAnsi"/>
          <w:lang w:val="en-GB"/>
        </w:rPr>
        <w:t>Returning</w:t>
      </w:r>
      <w:r w:rsidRPr="00B0733E">
        <w:rPr>
          <w:rFonts w:asciiTheme="minorHAnsi" w:hAnsiTheme="minorHAnsi"/>
          <w:lang w:val="en-GB"/>
        </w:rPr>
        <w:t xml:space="preserve"> </w:t>
      </w:r>
      <w:r w:rsidR="00523A22" w:rsidRPr="00B0733E">
        <w:rPr>
          <w:rFonts w:asciiTheme="minorHAnsi" w:hAnsiTheme="minorHAnsi"/>
          <w:lang w:val="en-GB"/>
        </w:rPr>
        <w:t>students will not be permitted to register for the next academic session until they have cleared their debt</w:t>
      </w:r>
      <w:r w:rsidR="006811B3">
        <w:rPr>
          <w:rFonts w:asciiTheme="minorHAnsi" w:hAnsiTheme="minorHAnsi"/>
          <w:lang w:val="en-GB"/>
        </w:rPr>
        <w:t xml:space="preserve"> or,</w:t>
      </w:r>
      <w:r w:rsidR="00243A45">
        <w:rPr>
          <w:rFonts w:asciiTheme="minorHAnsi" w:hAnsiTheme="minorHAnsi"/>
          <w:lang w:val="en-GB"/>
        </w:rPr>
        <w:t xml:space="preserve"> </w:t>
      </w:r>
      <w:r w:rsidR="006811B3">
        <w:rPr>
          <w:rFonts w:asciiTheme="minorHAnsi" w:hAnsiTheme="minorHAnsi"/>
          <w:lang w:val="en-GB"/>
        </w:rPr>
        <w:t>in cases of financial hardship, have been granted an alternative payment arrangement.</w:t>
      </w:r>
      <w:r w:rsidR="00523A22" w:rsidRPr="00B0733E">
        <w:rPr>
          <w:rFonts w:asciiTheme="minorHAnsi" w:hAnsiTheme="minorHAnsi"/>
          <w:lang w:val="en-GB"/>
        </w:rPr>
        <w:t xml:space="preserve"> </w:t>
      </w:r>
    </w:p>
    <w:p w:rsidR="009630EE" w:rsidRPr="006811B3" w:rsidRDefault="00523A22" w:rsidP="00C50D72">
      <w:pPr>
        <w:pStyle w:val="ListParagraph"/>
        <w:numPr>
          <w:ilvl w:val="0"/>
          <w:numId w:val="15"/>
        </w:numPr>
        <w:jc w:val="both"/>
        <w:rPr>
          <w:rFonts w:asciiTheme="minorHAnsi" w:hAnsiTheme="minorHAnsi"/>
          <w:lang w:val="en-GB"/>
        </w:rPr>
      </w:pPr>
      <w:r w:rsidRPr="006811B3">
        <w:rPr>
          <w:rFonts w:asciiTheme="minorHAnsi" w:hAnsiTheme="minorHAnsi"/>
          <w:lang w:val="en-GB"/>
        </w:rPr>
        <w:t>Students will not be permitted to graduate</w:t>
      </w:r>
      <w:r w:rsidR="00CF2EC5" w:rsidRPr="006811B3">
        <w:rPr>
          <w:rFonts w:asciiTheme="minorHAnsi" w:hAnsiTheme="minorHAnsi"/>
          <w:lang w:val="en-GB"/>
        </w:rPr>
        <w:t xml:space="preserve"> or attend conferring </w:t>
      </w:r>
      <w:r w:rsidR="00160748" w:rsidRPr="006811B3">
        <w:rPr>
          <w:rFonts w:asciiTheme="minorHAnsi" w:hAnsiTheme="minorHAnsi"/>
          <w:lang w:val="en-GB"/>
        </w:rPr>
        <w:t>ceremon</w:t>
      </w:r>
      <w:r w:rsidR="00160748">
        <w:rPr>
          <w:rFonts w:asciiTheme="minorHAnsi" w:hAnsiTheme="minorHAnsi"/>
          <w:lang w:val="en-GB"/>
        </w:rPr>
        <w:t>ies</w:t>
      </w:r>
      <w:r w:rsidR="00160748" w:rsidRPr="006811B3">
        <w:rPr>
          <w:rFonts w:asciiTheme="minorHAnsi" w:hAnsiTheme="minorHAnsi"/>
          <w:lang w:val="en-GB"/>
        </w:rPr>
        <w:t xml:space="preserve"> </w:t>
      </w:r>
      <w:r w:rsidRPr="006811B3">
        <w:rPr>
          <w:rFonts w:asciiTheme="minorHAnsi" w:hAnsiTheme="minorHAnsi"/>
          <w:lang w:val="en-GB"/>
        </w:rPr>
        <w:t xml:space="preserve">until </w:t>
      </w:r>
      <w:r w:rsidR="00CF2EC5" w:rsidRPr="006811B3">
        <w:rPr>
          <w:rFonts w:asciiTheme="minorHAnsi" w:hAnsiTheme="minorHAnsi"/>
          <w:lang w:val="en-GB"/>
        </w:rPr>
        <w:t xml:space="preserve">all </w:t>
      </w:r>
      <w:r w:rsidRPr="006811B3">
        <w:rPr>
          <w:rFonts w:asciiTheme="minorHAnsi" w:hAnsiTheme="minorHAnsi"/>
          <w:lang w:val="en-GB"/>
        </w:rPr>
        <w:t>outstanding debt</w:t>
      </w:r>
      <w:r w:rsidR="00D40CA6">
        <w:rPr>
          <w:rFonts w:asciiTheme="minorHAnsi" w:hAnsiTheme="minorHAnsi"/>
          <w:lang w:val="en-GB"/>
        </w:rPr>
        <w:t>s (including penalties, where applicable) have been paid in full.</w:t>
      </w:r>
    </w:p>
    <w:p w:rsidR="009630EE" w:rsidRPr="006811B3" w:rsidRDefault="009630EE" w:rsidP="00C50D72">
      <w:pPr>
        <w:jc w:val="both"/>
        <w:rPr>
          <w:rFonts w:asciiTheme="minorHAnsi" w:hAnsiTheme="minorHAnsi"/>
          <w:lang w:val="en-GB"/>
        </w:rPr>
      </w:pPr>
    </w:p>
    <w:p w:rsidR="00B177D0" w:rsidRPr="006811B3" w:rsidRDefault="00710389" w:rsidP="00B177D0">
      <w:pPr>
        <w:pStyle w:val="ListParagraph"/>
        <w:numPr>
          <w:ilvl w:val="0"/>
          <w:numId w:val="7"/>
        </w:numPr>
        <w:tabs>
          <w:tab w:val="left" w:pos="2835"/>
        </w:tabs>
        <w:jc w:val="both"/>
        <w:rPr>
          <w:rFonts w:asciiTheme="minorHAnsi" w:hAnsiTheme="minorHAnsi"/>
          <w:b/>
          <w:lang w:val="en-GB"/>
        </w:rPr>
      </w:pPr>
      <w:r w:rsidRPr="00710389">
        <w:rPr>
          <w:rFonts w:asciiTheme="minorHAnsi" w:hAnsiTheme="minorHAnsi"/>
          <w:b/>
          <w:lang w:val="en-GB"/>
        </w:rPr>
        <w:t>Related Policies</w:t>
      </w:r>
    </w:p>
    <w:p w:rsidR="00B177D0" w:rsidRPr="006811B3" w:rsidRDefault="00B177D0" w:rsidP="00B177D0">
      <w:pPr>
        <w:pStyle w:val="ListParagraph"/>
        <w:numPr>
          <w:ilvl w:val="0"/>
          <w:numId w:val="17"/>
        </w:numPr>
        <w:tabs>
          <w:tab w:val="left" w:pos="2835"/>
        </w:tabs>
        <w:jc w:val="both"/>
        <w:rPr>
          <w:rFonts w:asciiTheme="minorHAnsi" w:hAnsiTheme="minorHAnsi"/>
          <w:lang w:val="en-GB"/>
        </w:rPr>
      </w:pPr>
      <w:r w:rsidRPr="006811B3">
        <w:rPr>
          <w:rFonts w:asciiTheme="minorHAnsi" w:hAnsiTheme="minorHAnsi"/>
          <w:lang w:val="en-GB"/>
        </w:rPr>
        <w:t>Fee Refund Policy</w:t>
      </w:r>
    </w:p>
    <w:p w:rsidR="00B177D0" w:rsidRPr="006811B3" w:rsidRDefault="00D40CA6" w:rsidP="00B177D0">
      <w:pPr>
        <w:pStyle w:val="ListParagraph"/>
        <w:numPr>
          <w:ilvl w:val="0"/>
          <w:numId w:val="17"/>
        </w:numPr>
        <w:tabs>
          <w:tab w:val="left" w:pos="2835"/>
        </w:tabs>
        <w:jc w:val="both"/>
        <w:rPr>
          <w:rFonts w:asciiTheme="minorHAnsi" w:hAnsiTheme="minorHAnsi"/>
          <w:lang w:val="en-GB"/>
        </w:rPr>
      </w:pPr>
      <w:r>
        <w:rPr>
          <w:rFonts w:asciiTheme="minorHAnsi" w:hAnsiTheme="minorHAnsi"/>
          <w:lang w:val="en-GB"/>
        </w:rPr>
        <w:t>Approved Leave for Students Policy</w:t>
      </w:r>
      <w:r w:rsidR="00DA27A7">
        <w:rPr>
          <w:rFonts w:asciiTheme="minorHAnsi" w:hAnsiTheme="minorHAnsi"/>
          <w:lang w:val="en-GB"/>
        </w:rPr>
        <w:t xml:space="preserve"> </w:t>
      </w:r>
      <w:r w:rsidR="00DA27A7">
        <w:rPr>
          <w:rFonts w:asciiTheme="minorHAnsi" w:hAnsiTheme="minorHAnsi"/>
          <w:b/>
          <w:lang w:val="en-GB"/>
        </w:rPr>
        <w:t>(TBD Academic Secretary)</w:t>
      </w:r>
    </w:p>
    <w:p w:rsidR="00B177D0" w:rsidRDefault="00D40CA6" w:rsidP="00B177D0">
      <w:pPr>
        <w:pStyle w:val="ListParagraph"/>
        <w:numPr>
          <w:ilvl w:val="0"/>
          <w:numId w:val="17"/>
        </w:numPr>
        <w:tabs>
          <w:tab w:val="left" w:pos="2835"/>
        </w:tabs>
        <w:jc w:val="both"/>
        <w:rPr>
          <w:rFonts w:asciiTheme="minorHAnsi" w:hAnsiTheme="minorHAnsi"/>
          <w:lang w:val="en-GB"/>
        </w:rPr>
      </w:pPr>
      <w:r>
        <w:rPr>
          <w:rFonts w:asciiTheme="minorHAnsi" w:hAnsiTheme="minorHAnsi"/>
          <w:lang w:val="en-GB"/>
        </w:rPr>
        <w:t>New Entrants to First Year Fullt</w:t>
      </w:r>
      <w:r w:rsidR="00B177D0">
        <w:rPr>
          <w:rFonts w:asciiTheme="minorHAnsi" w:hAnsiTheme="minorHAnsi"/>
          <w:lang w:val="en-GB"/>
        </w:rPr>
        <w:t xml:space="preserve">ime Undergraduate Degree Programme Transfer Scheme </w:t>
      </w:r>
    </w:p>
    <w:p w:rsidR="00B177D0" w:rsidRDefault="00B177D0" w:rsidP="00B177D0">
      <w:pPr>
        <w:pStyle w:val="ListParagraph"/>
        <w:numPr>
          <w:ilvl w:val="0"/>
          <w:numId w:val="17"/>
        </w:numPr>
        <w:tabs>
          <w:tab w:val="left" w:pos="2835"/>
        </w:tabs>
        <w:jc w:val="both"/>
        <w:rPr>
          <w:rFonts w:asciiTheme="minorHAnsi" w:hAnsiTheme="minorHAnsi"/>
          <w:b/>
          <w:lang w:val="en-GB"/>
        </w:rPr>
      </w:pPr>
      <w:r>
        <w:rPr>
          <w:rFonts w:asciiTheme="minorHAnsi" w:hAnsiTheme="minorHAnsi"/>
          <w:lang w:val="en-GB"/>
        </w:rPr>
        <w:t>Student Withdrawal</w:t>
      </w:r>
      <w:r w:rsidR="00C76E64">
        <w:rPr>
          <w:rFonts w:asciiTheme="minorHAnsi" w:hAnsiTheme="minorHAnsi"/>
          <w:lang w:val="en-GB"/>
        </w:rPr>
        <w:t xml:space="preserve"> from </w:t>
      </w:r>
      <w:r w:rsidR="00DA27A7">
        <w:rPr>
          <w:rFonts w:asciiTheme="minorHAnsi" w:hAnsiTheme="minorHAnsi"/>
          <w:lang w:val="en-GB"/>
        </w:rPr>
        <w:t>C</w:t>
      </w:r>
      <w:r w:rsidR="00C76E64">
        <w:rPr>
          <w:rFonts w:asciiTheme="minorHAnsi" w:hAnsiTheme="minorHAnsi"/>
          <w:lang w:val="en-GB"/>
        </w:rPr>
        <w:t xml:space="preserve">ourse of </w:t>
      </w:r>
      <w:r w:rsidR="00243A45">
        <w:rPr>
          <w:rFonts w:asciiTheme="minorHAnsi" w:hAnsiTheme="minorHAnsi"/>
          <w:lang w:val="en-GB"/>
        </w:rPr>
        <w:t>S</w:t>
      </w:r>
      <w:r w:rsidR="00C76E64">
        <w:rPr>
          <w:rFonts w:asciiTheme="minorHAnsi" w:hAnsiTheme="minorHAnsi"/>
          <w:lang w:val="en-GB"/>
        </w:rPr>
        <w:t>tudy</w:t>
      </w:r>
      <w:r>
        <w:rPr>
          <w:rFonts w:asciiTheme="minorHAnsi" w:hAnsiTheme="minorHAnsi"/>
          <w:lang w:val="en-GB"/>
        </w:rPr>
        <w:t xml:space="preserve"> Policy </w:t>
      </w:r>
      <w:r w:rsidR="00561F81" w:rsidRPr="00561F81">
        <w:rPr>
          <w:rFonts w:asciiTheme="minorHAnsi" w:hAnsiTheme="minorHAnsi"/>
          <w:b/>
          <w:lang w:val="en-GB"/>
        </w:rPr>
        <w:t>(TBD Vice-President for the Student Experience)</w:t>
      </w:r>
    </w:p>
    <w:p w:rsidR="00080F74" w:rsidRPr="00DA27A7" w:rsidRDefault="00080F74" w:rsidP="00B177D0">
      <w:pPr>
        <w:pStyle w:val="ListParagraph"/>
        <w:numPr>
          <w:ilvl w:val="0"/>
          <w:numId w:val="17"/>
        </w:numPr>
        <w:tabs>
          <w:tab w:val="left" w:pos="2835"/>
        </w:tabs>
        <w:jc w:val="both"/>
        <w:rPr>
          <w:rFonts w:asciiTheme="minorHAnsi" w:hAnsiTheme="minorHAnsi"/>
          <w:b/>
          <w:lang w:val="en-GB"/>
        </w:rPr>
      </w:pPr>
      <w:r w:rsidRPr="00080F74">
        <w:rPr>
          <w:rFonts w:asciiTheme="minorHAnsi" w:hAnsiTheme="minorHAnsi"/>
          <w:lang w:val="en-GB"/>
        </w:rPr>
        <w:t>Student Data Usage</w:t>
      </w:r>
      <w:r>
        <w:rPr>
          <w:rFonts w:asciiTheme="minorHAnsi" w:hAnsiTheme="minorHAnsi"/>
          <w:b/>
          <w:lang w:val="en-GB"/>
        </w:rPr>
        <w:t xml:space="preserve"> </w:t>
      </w:r>
      <w:r w:rsidRPr="00080F74">
        <w:rPr>
          <w:rFonts w:asciiTheme="minorHAnsi" w:hAnsiTheme="minorHAnsi"/>
          <w:lang w:val="en-GB"/>
        </w:rPr>
        <w:t xml:space="preserve">Policy </w:t>
      </w:r>
    </w:p>
    <w:p w:rsidR="00616264" w:rsidRPr="00B0733E" w:rsidRDefault="00616264" w:rsidP="00C50D72">
      <w:pPr>
        <w:jc w:val="both"/>
        <w:rPr>
          <w:rFonts w:asciiTheme="minorHAnsi" w:hAnsiTheme="minorHAnsi"/>
          <w:lang w:val="en-GB"/>
        </w:rPr>
      </w:pPr>
    </w:p>
    <w:p w:rsidR="00833CF2" w:rsidRPr="00B0733E" w:rsidRDefault="00523A22" w:rsidP="002B1AEA">
      <w:pPr>
        <w:pStyle w:val="ListParagraph"/>
        <w:numPr>
          <w:ilvl w:val="0"/>
          <w:numId w:val="7"/>
        </w:numPr>
        <w:tabs>
          <w:tab w:val="left" w:pos="2835"/>
        </w:tabs>
        <w:jc w:val="both"/>
        <w:rPr>
          <w:rFonts w:asciiTheme="minorHAnsi" w:hAnsiTheme="minorHAnsi"/>
          <w:b/>
          <w:lang w:val="en-GB"/>
        </w:rPr>
      </w:pPr>
      <w:r w:rsidRPr="00B0733E">
        <w:rPr>
          <w:rFonts w:asciiTheme="minorHAnsi" w:hAnsiTheme="minorHAnsi"/>
          <w:b/>
          <w:lang w:val="en-GB"/>
        </w:rPr>
        <w:t>Responsibilities</w:t>
      </w:r>
    </w:p>
    <w:tbl>
      <w:tblPr>
        <w:tblStyle w:val="TableGrid"/>
        <w:tblW w:w="0" w:type="auto"/>
        <w:tblInd w:w="534" w:type="dxa"/>
        <w:tblLook w:val="04A0" w:firstRow="1" w:lastRow="0" w:firstColumn="1" w:lastColumn="0" w:noHBand="0" w:noVBand="1"/>
      </w:tblPr>
      <w:tblGrid>
        <w:gridCol w:w="1984"/>
        <w:gridCol w:w="6724"/>
      </w:tblGrid>
      <w:tr w:rsidR="00FA3CAC" w:rsidRPr="00B0733E" w:rsidTr="00FA3CAC">
        <w:tc>
          <w:tcPr>
            <w:tcW w:w="1984" w:type="dxa"/>
          </w:tcPr>
          <w:p w:rsidR="00FA3CAC" w:rsidRPr="00B0733E" w:rsidRDefault="00FA3CAC" w:rsidP="00A1454C">
            <w:pPr>
              <w:tabs>
                <w:tab w:val="left" w:pos="2835"/>
              </w:tabs>
              <w:jc w:val="both"/>
              <w:rPr>
                <w:rFonts w:asciiTheme="minorHAnsi" w:hAnsiTheme="minorHAnsi"/>
                <w:b/>
                <w:lang w:val="en-GB"/>
              </w:rPr>
            </w:pPr>
            <w:r w:rsidRPr="00B0733E">
              <w:rPr>
                <w:rFonts w:asciiTheme="minorHAnsi" w:hAnsiTheme="minorHAnsi"/>
                <w:b/>
                <w:lang w:val="en-GB"/>
              </w:rPr>
              <w:t>Name</w:t>
            </w:r>
          </w:p>
        </w:tc>
        <w:tc>
          <w:tcPr>
            <w:tcW w:w="6724" w:type="dxa"/>
          </w:tcPr>
          <w:p w:rsidR="00FA3CAC" w:rsidRPr="00B0733E" w:rsidRDefault="00FA3CAC" w:rsidP="00A1454C">
            <w:pPr>
              <w:tabs>
                <w:tab w:val="left" w:pos="2835"/>
              </w:tabs>
              <w:jc w:val="both"/>
              <w:rPr>
                <w:rFonts w:asciiTheme="minorHAnsi" w:hAnsiTheme="minorHAnsi"/>
                <w:b/>
                <w:lang w:val="en-GB"/>
              </w:rPr>
            </w:pPr>
            <w:r w:rsidRPr="00B0733E">
              <w:rPr>
                <w:rFonts w:asciiTheme="minorHAnsi" w:hAnsiTheme="minorHAnsi"/>
                <w:b/>
                <w:lang w:val="en-GB"/>
              </w:rPr>
              <w:t>Responsibility</w:t>
            </w:r>
          </w:p>
        </w:tc>
      </w:tr>
      <w:tr w:rsidR="0013492C" w:rsidRPr="00B0733E" w:rsidTr="00FA3CAC">
        <w:tc>
          <w:tcPr>
            <w:tcW w:w="1984" w:type="dxa"/>
          </w:tcPr>
          <w:p w:rsidR="0013492C" w:rsidRPr="00B0733E" w:rsidRDefault="0013492C" w:rsidP="00A1454C">
            <w:pPr>
              <w:tabs>
                <w:tab w:val="left" w:pos="2835"/>
              </w:tabs>
              <w:jc w:val="both"/>
              <w:rPr>
                <w:rFonts w:asciiTheme="minorHAnsi" w:hAnsiTheme="minorHAnsi"/>
                <w:b/>
                <w:lang w:val="en-GB"/>
              </w:rPr>
            </w:pPr>
            <w:r>
              <w:rPr>
                <w:rFonts w:asciiTheme="minorHAnsi" w:hAnsiTheme="minorHAnsi"/>
                <w:b/>
                <w:lang w:val="en-GB"/>
              </w:rPr>
              <w:t>Policy Owner</w:t>
            </w:r>
          </w:p>
        </w:tc>
        <w:tc>
          <w:tcPr>
            <w:tcW w:w="6724" w:type="dxa"/>
          </w:tcPr>
          <w:p w:rsidR="0013492C" w:rsidRPr="00B0733E" w:rsidRDefault="00F311B0" w:rsidP="006811B3">
            <w:pPr>
              <w:tabs>
                <w:tab w:val="left" w:pos="2835"/>
              </w:tabs>
              <w:jc w:val="both"/>
              <w:rPr>
                <w:rFonts w:asciiTheme="minorHAnsi" w:hAnsiTheme="minorHAnsi"/>
                <w:lang w:val="en-GB"/>
              </w:rPr>
            </w:pPr>
            <w:r>
              <w:rPr>
                <w:rFonts w:asciiTheme="minorHAnsi" w:hAnsiTheme="minorHAnsi"/>
                <w:lang w:val="en-GB"/>
              </w:rPr>
              <w:t>Director of Financial Accounting</w:t>
            </w:r>
          </w:p>
        </w:tc>
      </w:tr>
      <w:tr w:rsidR="00FA3CAC" w:rsidRPr="00B0733E" w:rsidTr="00FA3CAC">
        <w:tc>
          <w:tcPr>
            <w:tcW w:w="1984" w:type="dxa"/>
          </w:tcPr>
          <w:p w:rsidR="00FA3CAC" w:rsidRPr="00B0733E" w:rsidRDefault="00FA3CAC" w:rsidP="00A1454C">
            <w:pPr>
              <w:tabs>
                <w:tab w:val="left" w:pos="2835"/>
              </w:tabs>
              <w:jc w:val="both"/>
              <w:rPr>
                <w:rFonts w:asciiTheme="minorHAnsi" w:hAnsiTheme="minorHAnsi"/>
                <w:b/>
                <w:lang w:val="en-GB"/>
              </w:rPr>
            </w:pPr>
            <w:r w:rsidRPr="00B0733E">
              <w:rPr>
                <w:rFonts w:asciiTheme="minorHAnsi" w:hAnsiTheme="minorHAnsi"/>
                <w:b/>
                <w:lang w:val="en-GB"/>
              </w:rPr>
              <w:t xml:space="preserve">Fees Office </w:t>
            </w:r>
          </w:p>
        </w:tc>
        <w:tc>
          <w:tcPr>
            <w:tcW w:w="6724" w:type="dxa"/>
          </w:tcPr>
          <w:p w:rsidR="006811B3" w:rsidRPr="00B0733E" w:rsidRDefault="006811B3" w:rsidP="006811B3">
            <w:pPr>
              <w:tabs>
                <w:tab w:val="left" w:pos="2835"/>
              </w:tabs>
              <w:jc w:val="both"/>
              <w:rPr>
                <w:rFonts w:asciiTheme="minorHAnsi" w:hAnsiTheme="minorHAnsi"/>
                <w:lang w:val="en-GB"/>
              </w:rPr>
            </w:pPr>
            <w:r w:rsidRPr="00B0733E">
              <w:rPr>
                <w:rFonts w:asciiTheme="minorHAnsi" w:hAnsiTheme="minorHAnsi"/>
                <w:lang w:val="en-GB"/>
              </w:rPr>
              <w:t>To provide students with accurate</w:t>
            </w:r>
            <w:r>
              <w:rPr>
                <w:rFonts w:asciiTheme="minorHAnsi" w:hAnsiTheme="minorHAnsi"/>
                <w:lang w:val="en-GB"/>
              </w:rPr>
              <w:t xml:space="preserve"> </w:t>
            </w:r>
            <w:r w:rsidRPr="00B0733E">
              <w:rPr>
                <w:rFonts w:asciiTheme="minorHAnsi" w:hAnsiTheme="minorHAnsi"/>
                <w:lang w:val="en-GB"/>
              </w:rPr>
              <w:t>information about their fee liability.</w:t>
            </w:r>
          </w:p>
          <w:p w:rsidR="006811B3" w:rsidRDefault="006811B3" w:rsidP="00FA3CAC">
            <w:pPr>
              <w:tabs>
                <w:tab w:val="left" w:pos="2835"/>
              </w:tabs>
              <w:jc w:val="both"/>
              <w:rPr>
                <w:rFonts w:asciiTheme="minorHAnsi" w:hAnsiTheme="minorHAnsi"/>
                <w:lang w:val="en-GB"/>
              </w:rPr>
            </w:pPr>
          </w:p>
          <w:p w:rsidR="00FA3CAC" w:rsidRPr="00B0733E" w:rsidRDefault="00FA3CAC" w:rsidP="00FA3CAC">
            <w:pPr>
              <w:tabs>
                <w:tab w:val="left" w:pos="2835"/>
              </w:tabs>
              <w:jc w:val="both"/>
              <w:rPr>
                <w:rFonts w:asciiTheme="minorHAnsi" w:hAnsiTheme="minorHAnsi"/>
                <w:lang w:val="en-GB"/>
              </w:rPr>
            </w:pPr>
            <w:r w:rsidRPr="00B0733E">
              <w:rPr>
                <w:rFonts w:asciiTheme="minorHAnsi" w:hAnsiTheme="minorHAnsi"/>
                <w:lang w:val="en-GB"/>
              </w:rPr>
              <w:t>To maximise the collection of fees billed to students.</w:t>
            </w:r>
          </w:p>
          <w:p w:rsidR="00FA3CAC" w:rsidRPr="00B0733E" w:rsidRDefault="00FA3CAC" w:rsidP="006811B3">
            <w:pPr>
              <w:tabs>
                <w:tab w:val="left" w:pos="2835"/>
              </w:tabs>
              <w:jc w:val="both"/>
              <w:rPr>
                <w:rFonts w:asciiTheme="minorHAnsi" w:hAnsiTheme="minorHAnsi"/>
                <w:lang w:val="en-GB"/>
              </w:rPr>
            </w:pPr>
          </w:p>
        </w:tc>
      </w:tr>
      <w:tr w:rsidR="00FA3CAC" w:rsidRPr="00B0733E" w:rsidTr="00FA3CAC">
        <w:tc>
          <w:tcPr>
            <w:tcW w:w="1984" w:type="dxa"/>
          </w:tcPr>
          <w:p w:rsidR="00FA3CAC" w:rsidRPr="00B0733E" w:rsidRDefault="00FA3CAC" w:rsidP="00A1454C">
            <w:pPr>
              <w:tabs>
                <w:tab w:val="left" w:pos="2835"/>
              </w:tabs>
              <w:jc w:val="both"/>
              <w:rPr>
                <w:rFonts w:asciiTheme="minorHAnsi" w:hAnsiTheme="minorHAnsi"/>
                <w:b/>
                <w:lang w:val="en-GB"/>
              </w:rPr>
            </w:pPr>
            <w:r w:rsidRPr="00B0733E">
              <w:rPr>
                <w:rFonts w:asciiTheme="minorHAnsi" w:hAnsiTheme="minorHAnsi"/>
                <w:b/>
                <w:lang w:val="en-GB"/>
              </w:rPr>
              <w:t>Students</w:t>
            </w:r>
          </w:p>
        </w:tc>
        <w:tc>
          <w:tcPr>
            <w:tcW w:w="6724" w:type="dxa"/>
          </w:tcPr>
          <w:p w:rsidR="00FA3CAC" w:rsidRPr="00B0733E" w:rsidRDefault="00FA3CAC" w:rsidP="00FA3CAC">
            <w:pPr>
              <w:tabs>
                <w:tab w:val="left" w:pos="2835"/>
              </w:tabs>
              <w:jc w:val="both"/>
              <w:rPr>
                <w:rFonts w:asciiTheme="minorHAnsi" w:hAnsiTheme="minorHAnsi"/>
                <w:lang w:val="en-GB"/>
              </w:rPr>
            </w:pPr>
            <w:r w:rsidRPr="00B0733E">
              <w:rPr>
                <w:rFonts w:asciiTheme="minorHAnsi" w:hAnsiTheme="minorHAnsi"/>
                <w:lang w:val="en-GB"/>
              </w:rPr>
              <w:t>To pay their fees on time.</w:t>
            </w:r>
          </w:p>
        </w:tc>
      </w:tr>
    </w:tbl>
    <w:p w:rsidR="00964D90" w:rsidRPr="00B0733E" w:rsidRDefault="00964D90" w:rsidP="00C50D72">
      <w:pPr>
        <w:tabs>
          <w:tab w:val="left" w:pos="2835"/>
        </w:tabs>
        <w:jc w:val="both"/>
        <w:rPr>
          <w:rFonts w:asciiTheme="minorHAnsi" w:hAnsiTheme="minorHAnsi"/>
          <w:b/>
          <w:lang w:val="en-GB"/>
        </w:rPr>
      </w:pPr>
    </w:p>
    <w:p w:rsidR="00656711" w:rsidRPr="00B0733E" w:rsidRDefault="00502D9E" w:rsidP="00F75172">
      <w:pPr>
        <w:tabs>
          <w:tab w:val="left" w:pos="2835"/>
        </w:tabs>
        <w:rPr>
          <w:rFonts w:asciiTheme="minorHAnsi" w:hAnsiTheme="minorHAnsi"/>
          <w:b/>
        </w:rPr>
      </w:pPr>
      <w:r>
        <w:rPr>
          <w:rFonts w:asciiTheme="minorHAnsi" w:hAnsiTheme="minorHAnsi"/>
          <w:b/>
        </w:rPr>
        <w:t>5</w:t>
      </w:r>
      <w:r w:rsidR="00CF2EC5" w:rsidRPr="00B0733E">
        <w:rPr>
          <w:rFonts w:asciiTheme="minorHAnsi" w:hAnsiTheme="minorHAnsi"/>
          <w:b/>
        </w:rPr>
        <w:t>.0   At</w:t>
      </w:r>
      <w:r w:rsidR="00523A22" w:rsidRPr="00B0733E">
        <w:rPr>
          <w:rFonts w:asciiTheme="minorHAnsi" w:hAnsiTheme="minorHAnsi"/>
          <w:b/>
        </w:rPr>
        <w:t>tachments</w:t>
      </w:r>
    </w:p>
    <w:p w:rsidR="008F5E86" w:rsidRDefault="00523A22" w:rsidP="00427291">
      <w:pPr>
        <w:pStyle w:val="ListParagraph"/>
        <w:tabs>
          <w:tab w:val="left" w:pos="2835"/>
        </w:tabs>
        <w:ind w:left="405"/>
        <w:jc w:val="both"/>
        <w:rPr>
          <w:rFonts w:asciiTheme="minorHAnsi" w:hAnsiTheme="minorHAnsi"/>
          <w:lang w:val="en-GB"/>
        </w:rPr>
      </w:pPr>
      <w:r w:rsidRPr="00B0733E">
        <w:rPr>
          <w:rFonts w:asciiTheme="minorHAnsi" w:hAnsiTheme="minorHAnsi"/>
          <w:lang w:val="en-GB"/>
        </w:rPr>
        <w:t xml:space="preserve">Form for </w:t>
      </w:r>
      <w:proofErr w:type="gramStart"/>
      <w:r w:rsidRPr="00B0733E">
        <w:rPr>
          <w:rFonts w:asciiTheme="minorHAnsi" w:hAnsiTheme="minorHAnsi"/>
          <w:lang w:val="en-GB"/>
        </w:rPr>
        <w:t>FAF</w:t>
      </w:r>
      <w:r w:rsidR="0013492C">
        <w:rPr>
          <w:rFonts w:asciiTheme="minorHAnsi" w:hAnsiTheme="minorHAnsi"/>
          <w:lang w:val="en-GB"/>
        </w:rPr>
        <w:t xml:space="preserve">  is</w:t>
      </w:r>
      <w:proofErr w:type="gramEnd"/>
      <w:r w:rsidR="0013492C">
        <w:rPr>
          <w:rFonts w:asciiTheme="minorHAnsi" w:hAnsiTheme="minorHAnsi"/>
          <w:lang w:val="en-GB"/>
        </w:rPr>
        <w:t xml:space="preserve"> available from </w:t>
      </w:r>
      <w:hyperlink r:id="rId14" w:history="1">
        <w:r w:rsidR="0013492C" w:rsidRPr="00D34B67">
          <w:rPr>
            <w:rStyle w:val="Hyperlink"/>
            <w:rFonts w:asciiTheme="minorHAnsi" w:hAnsiTheme="minorHAnsi"/>
            <w:lang w:val="en-GB"/>
          </w:rPr>
          <w:t>www.nuigalway.ie/student_services/</w:t>
        </w:r>
      </w:hyperlink>
      <w:r w:rsidR="0013492C">
        <w:rPr>
          <w:rFonts w:asciiTheme="minorHAnsi" w:hAnsiTheme="minorHAnsi"/>
          <w:lang w:val="en-GB"/>
        </w:rPr>
        <w:t xml:space="preserve"> when applications can be made.</w:t>
      </w:r>
    </w:p>
    <w:p w:rsidR="0013492C" w:rsidRPr="00B0733E" w:rsidRDefault="0013492C" w:rsidP="00427291">
      <w:pPr>
        <w:pStyle w:val="ListParagraph"/>
        <w:tabs>
          <w:tab w:val="left" w:pos="2835"/>
        </w:tabs>
        <w:ind w:left="405"/>
        <w:jc w:val="both"/>
        <w:rPr>
          <w:rFonts w:asciiTheme="minorHAnsi" w:hAnsiTheme="minorHAnsi"/>
          <w:lang w:val="en-GB"/>
        </w:rPr>
      </w:pPr>
    </w:p>
    <w:p w:rsidR="00FA3CAC" w:rsidRDefault="0013492C" w:rsidP="00427291">
      <w:pPr>
        <w:pStyle w:val="ListParagraph"/>
        <w:tabs>
          <w:tab w:val="left" w:pos="2835"/>
        </w:tabs>
        <w:ind w:left="405"/>
        <w:jc w:val="both"/>
        <w:rPr>
          <w:rFonts w:asciiTheme="minorHAnsi" w:hAnsiTheme="minorHAnsi"/>
          <w:lang w:val="en-GB"/>
        </w:rPr>
      </w:pPr>
      <w:r>
        <w:rPr>
          <w:rFonts w:asciiTheme="minorHAnsi" w:hAnsiTheme="minorHAnsi"/>
          <w:lang w:val="en-GB"/>
        </w:rPr>
        <w:t xml:space="preserve">Appendix 1: </w:t>
      </w:r>
      <w:r w:rsidR="00FA3CAC" w:rsidRPr="00B0733E">
        <w:rPr>
          <w:rFonts w:asciiTheme="minorHAnsi" w:hAnsiTheme="minorHAnsi"/>
          <w:lang w:val="en-GB"/>
        </w:rPr>
        <w:t xml:space="preserve">Schedule of </w:t>
      </w:r>
      <w:r>
        <w:rPr>
          <w:rFonts w:asciiTheme="minorHAnsi" w:hAnsiTheme="minorHAnsi"/>
          <w:lang w:val="en-GB"/>
        </w:rPr>
        <w:t>Administrative fees processed by the Fees office</w:t>
      </w: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Default="0013492C" w:rsidP="00427291">
      <w:pPr>
        <w:pStyle w:val="ListParagraph"/>
        <w:tabs>
          <w:tab w:val="left" w:pos="2835"/>
        </w:tabs>
        <w:ind w:left="405"/>
        <w:jc w:val="both"/>
        <w:rPr>
          <w:rFonts w:asciiTheme="minorHAnsi" w:hAnsiTheme="minorHAnsi"/>
          <w:lang w:val="en-GB"/>
        </w:rPr>
      </w:pPr>
    </w:p>
    <w:p w:rsidR="0013492C" w:rsidRPr="0013492C" w:rsidRDefault="0013492C" w:rsidP="0013492C">
      <w:pPr>
        <w:tabs>
          <w:tab w:val="left" w:pos="2835"/>
        </w:tabs>
        <w:jc w:val="both"/>
        <w:rPr>
          <w:rFonts w:asciiTheme="minorHAnsi" w:hAnsiTheme="minorHAnsi"/>
          <w:b/>
          <w:lang w:val="en-GB"/>
        </w:rPr>
      </w:pPr>
      <w:r>
        <w:rPr>
          <w:rFonts w:asciiTheme="minorHAnsi" w:hAnsiTheme="minorHAnsi"/>
          <w:b/>
          <w:lang w:val="en-GB"/>
        </w:rPr>
        <w:lastRenderedPageBreak/>
        <w:t xml:space="preserve"> </w:t>
      </w:r>
      <w:r w:rsidRPr="0013492C">
        <w:rPr>
          <w:rFonts w:asciiTheme="minorHAnsi" w:hAnsiTheme="minorHAnsi"/>
          <w:b/>
          <w:lang w:val="en-GB"/>
        </w:rPr>
        <w:t>Appendix 1</w:t>
      </w:r>
    </w:p>
    <w:p w:rsidR="0013492C" w:rsidRDefault="0013492C" w:rsidP="00427291">
      <w:pPr>
        <w:pStyle w:val="ListParagraph"/>
        <w:tabs>
          <w:tab w:val="left" w:pos="2835"/>
        </w:tabs>
        <w:ind w:left="405"/>
        <w:jc w:val="both"/>
        <w:rPr>
          <w:rFonts w:asciiTheme="minorHAnsi" w:hAnsiTheme="minorHAnsi"/>
          <w:b/>
          <w:lang w:val="en-GB"/>
        </w:rPr>
      </w:pPr>
    </w:p>
    <w:tbl>
      <w:tblPr>
        <w:tblW w:w="9384" w:type="dxa"/>
        <w:tblInd w:w="96" w:type="dxa"/>
        <w:tblLook w:val="04A0" w:firstRow="1" w:lastRow="0" w:firstColumn="1" w:lastColumn="0" w:noHBand="0" w:noVBand="1"/>
      </w:tblPr>
      <w:tblGrid>
        <w:gridCol w:w="9384"/>
      </w:tblGrid>
      <w:tr w:rsidR="0013492C" w:rsidRPr="0013492C" w:rsidTr="0013492C">
        <w:trPr>
          <w:trHeight w:val="405"/>
        </w:trPr>
        <w:tc>
          <w:tcPr>
            <w:tcW w:w="9384" w:type="dxa"/>
            <w:tcBorders>
              <w:top w:val="nil"/>
              <w:left w:val="nil"/>
              <w:bottom w:val="nil"/>
              <w:right w:val="nil"/>
            </w:tcBorders>
            <w:shd w:val="clear" w:color="auto" w:fill="auto"/>
            <w:noWrap/>
            <w:vAlign w:val="bottom"/>
            <w:hideMark/>
          </w:tcPr>
          <w:p w:rsidR="0013492C" w:rsidRPr="0013492C" w:rsidRDefault="0013492C" w:rsidP="0013492C">
            <w:pPr>
              <w:rPr>
                <w:rFonts w:eastAsia="Times New Roman"/>
                <w:b/>
                <w:bCs/>
                <w:color w:val="1F497D"/>
                <w:sz w:val="24"/>
                <w:szCs w:val="24"/>
                <w:lang w:eastAsia="en-IE"/>
              </w:rPr>
            </w:pPr>
            <w:r>
              <w:rPr>
                <w:rFonts w:eastAsia="Times New Roman"/>
                <w:b/>
                <w:bCs/>
                <w:color w:val="1F497D"/>
                <w:sz w:val="24"/>
                <w:szCs w:val="24"/>
                <w:lang w:eastAsia="en-IE"/>
              </w:rPr>
              <w:t>Category</w:t>
            </w:r>
            <w:r w:rsidRPr="0013492C">
              <w:rPr>
                <w:rFonts w:eastAsia="Times New Roman"/>
                <w:b/>
                <w:bCs/>
                <w:color w:val="1F497D"/>
                <w:sz w:val="24"/>
                <w:szCs w:val="24"/>
                <w:lang w:eastAsia="en-IE"/>
              </w:rPr>
              <w:t xml:space="preserve"> of Administration Fee processed by the Fees office</w:t>
            </w: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13492C">
            <w:pPr>
              <w:rPr>
                <w:rFonts w:eastAsia="Times New Roman"/>
                <w:color w:val="000000"/>
                <w:lang w:eastAsia="en-IE"/>
              </w:rPr>
            </w:pP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13492C">
            <w:pPr>
              <w:rPr>
                <w:rFonts w:eastAsia="Times New Roman"/>
                <w:b/>
                <w:bCs/>
                <w:color w:val="1F497D"/>
                <w:lang w:eastAsia="en-IE"/>
              </w:rPr>
            </w:pPr>
            <w:r w:rsidRPr="0013492C">
              <w:rPr>
                <w:rFonts w:eastAsia="Times New Roman"/>
                <w:b/>
                <w:bCs/>
                <w:color w:val="1F497D"/>
                <w:lang w:eastAsia="en-IE"/>
              </w:rPr>
              <w:t xml:space="preserve">Refunds </w:t>
            </w:r>
          </w:p>
        </w:tc>
      </w:tr>
      <w:tr w:rsidR="0013492C" w:rsidRPr="0013492C" w:rsidTr="0013492C">
        <w:trPr>
          <w:trHeight w:val="900"/>
        </w:trPr>
        <w:tc>
          <w:tcPr>
            <w:tcW w:w="9384" w:type="dxa"/>
            <w:tcBorders>
              <w:top w:val="nil"/>
              <w:left w:val="nil"/>
              <w:bottom w:val="nil"/>
              <w:right w:val="nil"/>
            </w:tcBorders>
            <w:shd w:val="clear" w:color="auto" w:fill="auto"/>
            <w:noWrap/>
            <w:vAlign w:val="bottom"/>
            <w:hideMark/>
          </w:tcPr>
          <w:p w:rsidR="0013492C" w:rsidRPr="0013492C" w:rsidRDefault="0013492C" w:rsidP="0013492C">
            <w:pPr>
              <w:jc w:val="both"/>
              <w:rPr>
                <w:rFonts w:eastAsia="Times New Roman"/>
                <w:color w:val="000000"/>
                <w:lang w:eastAsia="en-IE"/>
              </w:rPr>
            </w:pPr>
            <w:r w:rsidRPr="0013492C">
              <w:rPr>
                <w:rFonts w:eastAsia="Times New Roman"/>
                <w:color w:val="000000"/>
                <w:lang w:eastAsia="en-IE"/>
              </w:rPr>
              <w:t>International students who have paid some or all of their fees to the University but are subsequently unsuccessful in their visa application will be charged an administration fee of €190 in order to process their fee refund.</w:t>
            </w: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13492C">
            <w:pPr>
              <w:rPr>
                <w:rFonts w:eastAsia="Times New Roman"/>
                <w:color w:val="000000"/>
                <w:lang w:eastAsia="en-IE"/>
              </w:rPr>
            </w:pP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13492C">
            <w:pPr>
              <w:rPr>
                <w:rFonts w:eastAsia="Times New Roman"/>
                <w:b/>
                <w:bCs/>
                <w:color w:val="1F497D"/>
                <w:lang w:eastAsia="en-IE"/>
              </w:rPr>
            </w:pPr>
            <w:r w:rsidRPr="0013492C">
              <w:rPr>
                <w:rFonts w:eastAsia="Times New Roman"/>
                <w:b/>
                <w:bCs/>
                <w:color w:val="1F497D"/>
                <w:lang w:eastAsia="en-IE"/>
              </w:rPr>
              <w:t>Late payment penalty</w:t>
            </w:r>
          </w:p>
        </w:tc>
      </w:tr>
      <w:tr w:rsidR="0013492C" w:rsidRPr="0013492C" w:rsidTr="0013492C">
        <w:trPr>
          <w:trHeight w:val="900"/>
        </w:trPr>
        <w:tc>
          <w:tcPr>
            <w:tcW w:w="9384" w:type="dxa"/>
            <w:tcBorders>
              <w:top w:val="nil"/>
              <w:left w:val="nil"/>
              <w:bottom w:val="nil"/>
              <w:right w:val="nil"/>
            </w:tcBorders>
            <w:shd w:val="clear" w:color="auto" w:fill="auto"/>
            <w:noWrap/>
            <w:vAlign w:val="bottom"/>
            <w:hideMark/>
          </w:tcPr>
          <w:p w:rsidR="0013492C" w:rsidRPr="0013492C" w:rsidRDefault="0013492C" w:rsidP="0013492C">
            <w:pPr>
              <w:jc w:val="both"/>
              <w:rPr>
                <w:rFonts w:eastAsia="Times New Roman"/>
                <w:color w:val="000000"/>
                <w:lang w:eastAsia="en-IE"/>
              </w:rPr>
            </w:pPr>
            <w:r w:rsidRPr="0013492C">
              <w:rPr>
                <w:rFonts w:eastAsia="Times New Roman"/>
                <w:color w:val="000000"/>
                <w:lang w:eastAsia="en-IE"/>
              </w:rPr>
              <w:t>Where student fees and/or student levy payments are not made (and where proof of funding is not provided) within the timelines outlined  the following sanctions apply :</w:t>
            </w: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13492C">
            <w:pPr>
              <w:jc w:val="both"/>
              <w:rPr>
                <w:rFonts w:eastAsia="Times New Roman"/>
                <w:color w:val="000000"/>
                <w:lang w:eastAsia="en-IE"/>
              </w:rPr>
            </w:pP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13492C">
            <w:pPr>
              <w:jc w:val="both"/>
              <w:rPr>
                <w:rFonts w:eastAsia="Times New Roman"/>
                <w:color w:val="000000"/>
                <w:lang w:eastAsia="en-IE"/>
              </w:rPr>
            </w:pPr>
            <w:r w:rsidRPr="0013492C">
              <w:rPr>
                <w:rFonts w:eastAsia="Times New Roman"/>
                <w:color w:val="000000"/>
                <w:lang w:eastAsia="en-IE"/>
              </w:rPr>
              <w:t>(A) 31/10/xx - Late Payment fine of €200</w:t>
            </w: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13492C">
            <w:pPr>
              <w:jc w:val="both"/>
              <w:rPr>
                <w:rFonts w:eastAsia="Times New Roman"/>
                <w:color w:val="000000"/>
                <w:lang w:eastAsia="en-IE"/>
              </w:rPr>
            </w:pPr>
            <w:r w:rsidRPr="0013492C">
              <w:rPr>
                <w:rFonts w:eastAsia="Times New Roman"/>
                <w:color w:val="000000"/>
                <w:lang w:eastAsia="en-IE"/>
              </w:rPr>
              <w:t>(B) 31/01/xx  - Additional late payment fine of €200</w:t>
            </w: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13492C">
            <w:pPr>
              <w:rPr>
                <w:rFonts w:eastAsia="Times New Roman"/>
                <w:color w:val="000000"/>
                <w:lang w:eastAsia="en-IE"/>
              </w:rPr>
            </w:pP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13492C">
            <w:pPr>
              <w:rPr>
                <w:rFonts w:eastAsia="Times New Roman"/>
                <w:b/>
                <w:bCs/>
                <w:color w:val="1F497D"/>
                <w:lang w:eastAsia="en-IE"/>
              </w:rPr>
            </w:pPr>
            <w:r w:rsidRPr="0013492C">
              <w:rPr>
                <w:rFonts w:eastAsia="Times New Roman"/>
                <w:b/>
                <w:bCs/>
                <w:color w:val="1F497D"/>
                <w:lang w:eastAsia="en-IE"/>
              </w:rPr>
              <w:t>Exam fee</w:t>
            </w:r>
          </w:p>
        </w:tc>
      </w:tr>
      <w:tr w:rsidR="0013492C" w:rsidRPr="0013492C" w:rsidTr="0013492C">
        <w:trPr>
          <w:trHeight w:val="600"/>
        </w:trPr>
        <w:tc>
          <w:tcPr>
            <w:tcW w:w="9384" w:type="dxa"/>
            <w:tcBorders>
              <w:top w:val="nil"/>
              <w:left w:val="nil"/>
              <w:bottom w:val="nil"/>
              <w:right w:val="nil"/>
            </w:tcBorders>
            <w:shd w:val="clear" w:color="auto" w:fill="auto"/>
            <w:noWrap/>
            <w:vAlign w:val="bottom"/>
            <w:hideMark/>
          </w:tcPr>
          <w:p w:rsidR="0013492C" w:rsidRPr="0013492C" w:rsidRDefault="0013492C" w:rsidP="0013492C">
            <w:pPr>
              <w:jc w:val="both"/>
              <w:rPr>
                <w:rFonts w:eastAsia="Times New Roman"/>
                <w:color w:val="000000"/>
                <w:lang w:eastAsia="en-IE"/>
              </w:rPr>
            </w:pPr>
            <w:r w:rsidRPr="0013492C">
              <w:rPr>
                <w:rFonts w:eastAsia="Times New Roman"/>
                <w:color w:val="000000"/>
                <w:lang w:eastAsia="en-IE"/>
              </w:rPr>
              <w:t>Students who have to attend the repeat examinations in Autumn, or who are repeating any form of assessment/assignment/coursework</w:t>
            </w:r>
          </w:p>
        </w:tc>
      </w:tr>
      <w:tr w:rsidR="0013492C" w:rsidRPr="0013492C" w:rsidTr="0013492C">
        <w:trPr>
          <w:trHeight w:val="300"/>
        </w:trPr>
        <w:tc>
          <w:tcPr>
            <w:tcW w:w="9384" w:type="dxa"/>
            <w:tcBorders>
              <w:top w:val="nil"/>
              <w:left w:val="nil"/>
              <w:bottom w:val="nil"/>
              <w:right w:val="nil"/>
            </w:tcBorders>
            <w:shd w:val="clear" w:color="auto" w:fill="auto"/>
            <w:noWrap/>
            <w:vAlign w:val="bottom"/>
            <w:hideMark/>
          </w:tcPr>
          <w:p w:rsidR="0013492C" w:rsidRPr="0013492C" w:rsidRDefault="0013492C" w:rsidP="00F40D0C">
            <w:pPr>
              <w:jc w:val="both"/>
              <w:rPr>
                <w:rFonts w:eastAsia="Times New Roman"/>
                <w:color w:val="000000"/>
                <w:lang w:eastAsia="en-IE"/>
              </w:rPr>
            </w:pPr>
            <w:proofErr w:type="gramStart"/>
            <w:r w:rsidRPr="0013492C">
              <w:rPr>
                <w:rFonts w:eastAsia="Times New Roman"/>
                <w:color w:val="000000"/>
                <w:lang w:eastAsia="en-IE"/>
              </w:rPr>
              <w:t>are</w:t>
            </w:r>
            <w:proofErr w:type="gramEnd"/>
            <w:r w:rsidRPr="0013492C">
              <w:rPr>
                <w:rFonts w:eastAsia="Times New Roman"/>
                <w:color w:val="000000"/>
                <w:lang w:eastAsia="en-IE"/>
              </w:rPr>
              <w:t xml:space="preserve"> liable to pay the repeat examination fee of €</w:t>
            </w:r>
            <w:r w:rsidR="00F40D0C" w:rsidRPr="00B95C6C">
              <w:rPr>
                <w:rFonts w:eastAsia="Times New Roman"/>
                <w:color w:val="000000"/>
                <w:lang w:eastAsia="en-IE"/>
              </w:rPr>
              <w:t>2</w:t>
            </w:r>
            <w:r w:rsidRPr="00B95C6C">
              <w:rPr>
                <w:rFonts w:eastAsia="Times New Roman"/>
                <w:color w:val="000000"/>
                <w:lang w:eastAsia="en-IE"/>
              </w:rPr>
              <w:t>95</w:t>
            </w:r>
            <w:r w:rsidRPr="0013492C">
              <w:rPr>
                <w:rFonts w:eastAsia="Times New Roman"/>
                <w:color w:val="000000"/>
                <w:lang w:eastAsia="en-IE"/>
              </w:rPr>
              <w:t>.</w:t>
            </w:r>
          </w:p>
        </w:tc>
      </w:tr>
    </w:tbl>
    <w:p w:rsidR="0013492C" w:rsidRPr="0013492C" w:rsidRDefault="0013492C" w:rsidP="00427291">
      <w:pPr>
        <w:pStyle w:val="ListParagraph"/>
        <w:tabs>
          <w:tab w:val="left" w:pos="2835"/>
        </w:tabs>
        <w:ind w:left="405"/>
        <w:jc w:val="both"/>
        <w:rPr>
          <w:rFonts w:asciiTheme="minorHAnsi" w:hAnsiTheme="minorHAnsi"/>
          <w:b/>
          <w:lang w:val="en-GB"/>
        </w:rPr>
      </w:pPr>
    </w:p>
    <w:p w:rsidR="0013492C" w:rsidRPr="00B0733E" w:rsidRDefault="0013492C" w:rsidP="00427291">
      <w:pPr>
        <w:pStyle w:val="ListParagraph"/>
        <w:tabs>
          <w:tab w:val="left" w:pos="2835"/>
        </w:tabs>
        <w:ind w:left="405"/>
        <w:jc w:val="both"/>
        <w:rPr>
          <w:rFonts w:asciiTheme="minorHAnsi" w:hAnsiTheme="minorHAnsi"/>
          <w:lang w:val="en-GB"/>
        </w:rPr>
      </w:pPr>
    </w:p>
    <w:sectPr w:rsidR="0013492C" w:rsidRPr="00B0733E" w:rsidSect="008959B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86B" w:rsidRDefault="008E486B" w:rsidP="00926C2E">
      <w:r>
        <w:separator/>
      </w:r>
    </w:p>
  </w:endnote>
  <w:endnote w:type="continuationSeparator" w:id="0">
    <w:p w:rsidR="008E486B" w:rsidRDefault="008E486B" w:rsidP="0092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23" w:rsidRDefault="000C10FF">
    <w:pPr>
      <w:pStyle w:val="Footer"/>
      <w:jc w:val="right"/>
    </w:pPr>
    <w:r>
      <w:fldChar w:fldCharType="begin"/>
    </w:r>
    <w:r w:rsidR="00111223">
      <w:instrText xml:space="preserve"> PAGE   \* MERGEFORMAT </w:instrText>
    </w:r>
    <w:r>
      <w:fldChar w:fldCharType="separate"/>
    </w:r>
    <w:r w:rsidR="009A57E0">
      <w:rPr>
        <w:noProof/>
      </w:rPr>
      <w:t>3</w:t>
    </w:r>
    <w:r>
      <w:rPr>
        <w:noProof/>
      </w:rPr>
      <w:fldChar w:fldCharType="end"/>
    </w:r>
  </w:p>
  <w:p w:rsidR="00111223" w:rsidRDefault="00111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86B" w:rsidRDefault="008E486B" w:rsidP="00926C2E">
      <w:r>
        <w:separator/>
      </w:r>
    </w:p>
  </w:footnote>
  <w:footnote w:type="continuationSeparator" w:id="0">
    <w:p w:rsidR="008E486B" w:rsidRDefault="008E486B" w:rsidP="00926C2E">
      <w:r>
        <w:continuationSeparator/>
      </w:r>
    </w:p>
  </w:footnote>
  <w:footnote w:id="1">
    <w:p w:rsidR="00951235" w:rsidRDefault="00951235">
      <w:pPr>
        <w:pStyle w:val="FootnoteText"/>
      </w:pPr>
      <w:r>
        <w:rPr>
          <w:rStyle w:val="FootnoteReference"/>
        </w:rPr>
        <w:footnoteRef/>
      </w:r>
      <w:r>
        <w:t xml:space="preserve"> Applicable to undergraduate students only</w:t>
      </w:r>
    </w:p>
  </w:footnote>
  <w:footnote w:id="2">
    <w:p w:rsidR="00275877" w:rsidRDefault="00275877">
      <w:pPr>
        <w:pStyle w:val="FootnoteText"/>
      </w:pPr>
      <w:r>
        <w:rPr>
          <w:rStyle w:val="FootnoteReference"/>
        </w:rPr>
        <w:footnoteRef/>
      </w:r>
      <w:r>
        <w:t xml:space="preserve"> </w:t>
      </w:r>
      <w:r w:rsidR="00951235">
        <w:rPr>
          <w:rFonts w:asciiTheme="minorHAnsi" w:hAnsiTheme="minorHAnsi"/>
          <w:lang w:val="en-GB"/>
        </w:rPr>
        <w:t>Within</w:t>
      </w:r>
      <w:r w:rsidR="00951235" w:rsidRPr="00B0733E">
        <w:rPr>
          <w:rFonts w:asciiTheme="minorHAnsi" w:hAnsiTheme="minorHAnsi"/>
          <w:lang w:val="en-GB"/>
        </w:rPr>
        <w:t xml:space="preserve"> two months of registration for </w:t>
      </w:r>
      <w:r>
        <w:t xml:space="preserve">Students who are required to register </w:t>
      </w:r>
      <w:r w:rsidR="00F80E0C">
        <w:t>outside of the main registration period.</w:t>
      </w:r>
    </w:p>
  </w:footnote>
  <w:footnote w:id="3">
    <w:p w:rsidR="00951235" w:rsidRDefault="00951235">
      <w:pPr>
        <w:pStyle w:val="FootnoteText"/>
      </w:pPr>
      <w:r>
        <w:rPr>
          <w:rStyle w:val="FootnoteReference"/>
        </w:rPr>
        <w:footnoteRef/>
      </w:r>
      <w:r>
        <w:t xml:space="preserve"> </w:t>
      </w:r>
      <w:r>
        <w:rPr>
          <w:rFonts w:asciiTheme="minorHAnsi" w:hAnsiTheme="minorHAnsi"/>
          <w:lang w:val="en-GB"/>
        </w:rPr>
        <w:t>W</w:t>
      </w:r>
      <w:r w:rsidRPr="00B0733E">
        <w:rPr>
          <w:rFonts w:asciiTheme="minorHAnsi" w:hAnsiTheme="minorHAnsi"/>
          <w:lang w:val="en-GB"/>
        </w:rPr>
        <w:t>ithin four months of registration</w:t>
      </w:r>
      <w:r>
        <w:rPr>
          <w:rFonts w:asciiTheme="minorHAnsi" w:hAnsiTheme="minorHAnsi"/>
          <w:lang w:val="en-GB"/>
        </w:rPr>
        <w:t xml:space="preserve"> </w:t>
      </w:r>
      <w:r w:rsidRPr="00B0733E">
        <w:rPr>
          <w:rFonts w:asciiTheme="minorHAnsi" w:hAnsiTheme="minorHAnsi"/>
          <w:lang w:val="en-GB"/>
        </w:rPr>
        <w:t xml:space="preserve">for </w:t>
      </w:r>
      <w:r>
        <w:t xml:space="preserve">Students who are required to register </w:t>
      </w:r>
      <w:r w:rsidR="00F80E0C">
        <w:t>outside of the main registration period.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49EF"/>
    <w:multiLevelType w:val="hybridMultilevel"/>
    <w:tmpl w:val="38CE99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7AA197B"/>
    <w:multiLevelType w:val="hybridMultilevel"/>
    <w:tmpl w:val="712AB728"/>
    <w:lvl w:ilvl="0" w:tplc="9FB0D4F4">
      <w:start w:val="1"/>
      <w:numFmt w:val="lowerRoman"/>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191B59C7"/>
    <w:multiLevelType w:val="hybridMultilevel"/>
    <w:tmpl w:val="C6FA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45D7E"/>
    <w:multiLevelType w:val="hybridMultilevel"/>
    <w:tmpl w:val="E064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C445A"/>
    <w:multiLevelType w:val="multilevel"/>
    <w:tmpl w:val="E9E23256"/>
    <w:lvl w:ilvl="0">
      <w:start w:val="2"/>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5">
    <w:nsid w:val="23454D67"/>
    <w:multiLevelType w:val="multilevel"/>
    <w:tmpl w:val="60EA82A6"/>
    <w:lvl w:ilvl="0">
      <w:start w:val="1"/>
      <w:numFmt w:val="bullet"/>
      <w:lvlText w:val=""/>
      <w:lvlJc w:val="left"/>
      <w:pPr>
        <w:ind w:left="765" w:hanging="360"/>
      </w:pPr>
      <w:rPr>
        <w:rFonts w:ascii="Symbol" w:hAnsi="Symbol" w:hint="default"/>
      </w:rPr>
    </w:lvl>
    <w:lvl w:ilvl="1">
      <w:start w:val="1"/>
      <w:numFmt w:val="decimal"/>
      <w:lvlText w:val="%1.%2"/>
      <w:lvlJc w:val="left"/>
      <w:pPr>
        <w:ind w:left="1485" w:hanging="360"/>
      </w:pPr>
    </w:lvl>
    <w:lvl w:ilvl="2">
      <w:start w:val="1"/>
      <w:numFmt w:val="decimal"/>
      <w:lvlText w:val="%1.%2.%3"/>
      <w:lvlJc w:val="left"/>
      <w:pPr>
        <w:ind w:left="2565" w:hanging="720"/>
      </w:pPr>
    </w:lvl>
    <w:lvl w:ilvl="3">
      <w:start w:val="1"/>
      <w:numFmt w:val="decimal"/>
      <w:lvlText w:val="%1.%2.%3.%4"/>
      <w:lvlJc w:val="left"/>
      <w:pPr>
        <w:ind w:left="3285" w:hanging="720"/>
      </w:pPr>
    </w:lvl>
    <w:lvl w:ilvl="4">
      <w:start w:val="1"/>
      <w:numFmt w:val="decimal"/>
      <w:lvlText w:val="%1.%2.%3.%4.%5"/>
      <w:lvlJc w:val="left"/>
      <w:pPr>
        <w:ind w:left="4365" w:hanging="1080"/>
      </w:pPr>
    </w:lvl>
    <w:lvl w:ilvl="5">
      <w:start w:val="1"/>
      <w:numFmt w:val="decimal"/>
      <w:lvlText w:val="%1.%2.%3.%4.%5.%6"/>
      <w:lvlJc w:val="left"/>
      <w:pPr>
        <w:ind w:left="5085" w:hanging="1080"/>
      </w:pPr>
    </w:lvl>
    <w:lvl w:ilvl="6">
      <w:start w:val="1"/>
      <w:numFmt w:val="decimal"/>
      <w:lvlText w:val="%1.%2.%3.%4.%5.%6.%7"/>
      <w:lvlJc w:val="left"/>
      <w:pPr>
        <w:ind w:left="6165" w:hanging="1440"/>
      </w:pPr>
    </w:lvl>
    <w:lvl w:ilvl="7">
      <w:start w:val="1"/>
      <w:numFmt w:val="decimal"/>
      <w:lvlText w:val="%1.%2.%3.%4.%5.%6.%7.%8"/>
      <w:lvlJc w:val="left"/>
      <w:pPr>
        <w:ind w:left="6885" w:hanging="1440"/>
      </w:pPr>
    </w:lvl>
    <w:lvl w:ilvl="8">
      <w:start w:val="1"/>
      <w:numFmt w:val="decimal"/>
      <w:lvlText w:val="%1.%2.%3.%4.%5.%6.%7.%8.%9"/>
      <w:lvlJc w:val="left"/>
      <w:pPr>
        <w:ind w:left="7965" w:hanging="1800"/>
      </w:pPr>
    </w:lvl>
  </w:abstractNum>
  <w:abstractNum w:abstractNumId="6">
    <w:nsid w:val="2AA123C2"/>
    <w:multiLevelType w:val="hybridMultilevel"/>
    <w:tmpl w:val="FDE6E858"/>
    <w:lvl w:ilvl="0" w:tplc="08526FCA">
      <w:start w:val="3"/>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90413C0"/>
    <w:multiLevelType w:val="hybridMultilevel"/>
    <w:tmpl w:val="D56409F6"/>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E156B37"/>
    <w:multiLevelType w:val="hybridMultilevel"/>
    <w:tmpl w:val="F0464300"/>
    <w:lvl w:ilvl="0" w:tplc="9FB0D4F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8BC1753"/>
    <w:multiLevelType w:val="hybridMultilevel"/>
    <w:tmpl w:val="F0EE59D6"/>
    <w:lvl w:ilvl="0" w:tplc="9FB0D4F4">
      <w:start w:val="1"/>
      <w:numFmt w:val="lowerRoman"/>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A223608"/>
    <w:multiLevelType w:val="hybridMultilevel"/>
    <w:tmpl w:val="3626E128"/>
    <w:lvl w:ilvl="0" w:tplc="A9209A70">
      <w:start w:val="3"/>
      <w:numFmt w:val="bullet"/>
      <w:lvlText w:val=""/>
      <w:lvlJc w:val="left"/>
      <w:pPr>
        <w:ind w:left="1800" w:hanging="360"/>
      </w:pPr>
      <w:rPr>
        <w:rFonts w:ascii="Wingdings" w:eastAsia="Calibri"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1AB615B"/>
    <w:multiLevelType w:val="hybridMultilevel"/>
    <w:tmpl w:val="377A98FC"/>
    <w:lvl w:ilvl="0" w:tplc="5E823B1E">
      <w:start w:val="3"/>
      <w:numFmt w:val="bullet"/>
      <w:lvlText w:val="&gt;"/>
      <w:lvlJc w:val="left"/>
      <w:pPr>
        <w:ind w:left="2520" w:hanging="360"/>
      </w:pPr>
      <w:rPr>
        <w:rFonts w:ascii="Calibri" w:eastAsia="Calibri" w:hAnsi="Calibri"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5DF96E36"/>
    <w:multiLevelType w:val="multilevel"/>
    <w:tmpl w:val="940889CE"/>
    <w:lvl w:ilvl="0">
      <w:start w:val="1"/>
      <w:numFmt w:val="decimal"/>
      <w:lvlText w:val="%1.0"/>
      <w:lvlJc w:val="left"/>
      <w:pPr>
        <w:ind w:left="405"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05"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05" w:hanging="1080"/>
      </w:pPr>
      <w:rPr>
        <w:rFonts w:hint="default"/>
      </w:rPr>
    </w:lvl>
    <w:lvl w:ilvl="5">
      <w:start w:val="1"/>
      <w:numFmt w:val="decimal"/>
      <w:lvlText w:val="%1.%2.%3.%4.%5.%6"/>
      <w:lvlJc w:val="left"/>
      <w:pPr>
        <w:ind w:left="4725" w:hanging="1080"/>
      </w:pPr>
      <w:rPr>
        <w:rFonts w:hint="default"/>
      </w:rPr>
    </w:lvl>
    <w:lvl w:ilvl="6">
      <w:start w:val="1"/>
      <w:numFmt w:val="decimal"/>
      <w:lvlText w:val="%1.%2.%3.%4.%5.%6.%7"/>
      <w:lvlJc w:val="left"/>
      <w:pPr>
        <w:ind w:left="5805" w:hanging="1440"/>
      </w:pPr>
      <w:rPr>
        <w:rFonts w:hint="default"/>
      </w:rPr>
    </w:lvl>
    <w:lvl w:ilvl="7">
      <w:start w:val="1"/>
      <w:numFmt w:val="decimal"/>
      <w:lvlText w:val="%1.%2.%3.%4.%5.%6.%7.%8"/>
      <w:lvlJc w:val="left"/>
      <w:pPr>
        <w:ind w:left="6525" w:hanging="1440"/>
      </w:pPr>
      <w:rPr>
        <w:rFonts w:hint="default"/>
      </w:rPr>
    </w:lvl>
    <w:lvl w:ilvl="8">
      <w:start w:val="1"/>
      <w:numFmt w:val="decimal"/>
      <w:lvlText w:val="%1.%2.%3.%4.%5.%6.%7.%8.%9"/>
      <w:lvlJc w:val="left"/>
      <w:pPr>
        <w:ind w:left="7605" w:hanging="1800"/>
      </w:pPr>
      <w:rPr>
        <w:rFonts w:hint="default"/>
      </w:rPr>
    </w:lvl>
  </w:abstractNum>
  <w:abstractNum w:abstractNumId="13">
    <w:nsid w:val="69633E72"/>
    <w:multiLevelType w:val="hybridMultilevel"/>
    <w:tmpl w:val="25302D7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6AF517A3"/>
    <w:multiLevelType w:val="hybridMultilevel"/>
    <w:tmpl w:val="537651C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6B9B55D0"/>
    <w:multiLevelType w:val="hybridMultilevel"/>
    <w:tmpl w:val="C074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3"/>
  </w:num>
  <w:num w:numId="5">
    <w:abstractNumId w:val="15"/>
  </w:num>
  <w:num w:numId="6">
    <w:abstractNumId w:val="2"/>
  </w:num>
  <w:num w:numId="7">
    <w:abstractNumId w:val="12"/>
  </w:num>
  <w:num w:numId="8">
    <w:abstractNumId w:val="4"/>
  </w:num>
  <w:num w:numId="9">
    <w:abstractNumId w:val="0"/>
  </w:num>
  <w:num w:numId="10">
    <w:abstractNumId w:val="14"/>
  </w:num>
  <w:num w:numId="11">
    <w:abstractNumId w:val="7"/>
  </w:num>
  <w:num w:numId="12">
    <w:abstractNumId w:val="13"/>
  </w:num>
  <w:num w:numId="13">
    <w:abstractNumId w:val="9"/>
  </w:num>
  <w:num w:numId="14">
    <w:abstractNumId w:val="1"/>
  </w:num>
  <w:num w:numId="15">
    <w:abstractNumId w:val="8"/>
  </w:num>
  <w:num w:numId="16">
    <w:abstractNumId w:val="12"/>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F2"/>
    <w:rsid w:val="00003EAC"/>
    <w:rsid w:val="00011A93"/>
    <w:rsid w:val="00012A1A"/>
    <w:rsid w:val="00015298"/>
    <w:rsid w:val="00016DC6"/>
    <w:rsid w:val="00017D70"/>
    <w:rsid w:val="00022E83"/>
    <w:rsid w:val="0002712C"/>
    <w:rsid w:val="00051525"/>
    <w:rsid w:val="0007060E"/>
    <w:rsid w:val="00080E03"/>
    <w:rsid w:val="00080F74"/>
    <w:rsid w:val="000A100B"/>
    <w:rsid w:val="000A6208"/>
    <w:rsid w:val="000B1C20"/>
    <w:rsid w:val="000B2CE2"/>
    <w:rsid w:val="000B50E6"/>
    <w:rsid w:val="000C10FF"/>
    <w:rsid w:val="000C3C72"/>
    <w:rsid w:val="000D4FAB"/>
    <w:rsid w:val="000D5BAD"/>
    <w:rsid w:val="000E3EEA"/>
    <w:rsid w:val="000E6B0D"/>
    <w:rsid w:val="0010219A"/>
    <w:rsid w:val="001109D7"/>
    <w:rsid w:val="00111223"/>
    <w:rsid w:val="00111B41"/>
    <w:rsid w:val="00125506"/>
    <w:rsid w:val="0013492C"/>
    <w:rsid w:val="001350F5"/>
    <w:rsid w:val="00136C39"/>
    <w:rsid w:val="001437FC"/>
    <w:rsid w:val="00156DDF"/>
    <w:rsid w:val="00160748"/>
    <w:rsid w:val="00165611"/>
    <w:rsid w:val="00171DD2"/>
    <w:rsid w:val="001750C6"/>
    <w:rsid w:val="0018467C"/>
    <w:rsid w:val="00185121"/>
    <w:rsid w:val="00197625"/>
    <w:rsid w:val="00197BF0"/>
    <w:rsid w:val="001A2443"/>
    <w:rsid w:val="001A5BD3"/>
    <w:rsid w:val="001C166B"/>
    <w:rsid w:val="001C1A45"/>
    <w:rsid w:val="001D00E2"/>
    <w:rsid w:val="001D4508"/>
    <w:rsid w:val="001D4BDF"/>
    <w:rsid w:val="001D5B33"/>
    <w:rsid w:val="001D73AD"/>
    <w:rsid w:val="001E0A5F"/>
    <w:rsid w:val="001E7B44"/>
    <w:rsid w:val="001F13EC"/>
    <w:rsid w:val="001F1AC1"/>
    <w:rsid w:val="001F4BA4"/>
    <w:rsid w:val="00210376"/>
    <w:rsid w:val="00230EB8"/>
    <w:rsid w:val="002322D0"/>
    <w:rsid w:val="0024331B"/>
    <w:rsid w:val="00243A45"/>
    <w:rsid w:val="00247007"/>
    <w:rsid w:val="002474C4"/>
    <w:rsid w:val="00265C90"/>
    <w:rsid w:val="002727E1"/>
    <w:rsid w:val="00273CB1"/>
    <w:rsid w:val="00275877"/>
    <w:rsid w:val="00276252"/>
    <w:rsid w:val="002829DC"/>
    <w:rsid w:val="00283187"/>
    <w:rsid w:val="00284A7B"/>
    <w:rsid w:val="00293796"/>
    <w:rsid w:val="002A4A19"/>
    <w:rsid w:val="002B1AEA"/>
    <w:rsid w:val="002B60B2"/>
    <w:rsid w:val="002C193A"/>
    <w:rsid w:val="002E1FA8"/>
    <w:rsid w:val="002E3F7E"/>
    <w:rsid w:val="002E59E6"/>
    <w:rsid w:val="002F2298"/>
    <w:rsid w:val="00300372"/>
    <w:rsid w:val="003008DA"/>
    <w:rsid w:val="00305273"/>
    <w:rsid w:val="00306F5F"/>
    <w:rsid w:val="0030740E"/>
    <w:rsid w:val="00312739"/>
    <w:rsid w:val="00331DA7"/>
    <w:rsid w:val="00334502"/>
    <w:rsid w:val="0033541B"/>
    <w:rsid w:val="003779BD"/>
    <w:rsid w:val="00380BAD"/>
    <w:rsid w:val="00382F71"/>
    <w:rsid w:val="003968A9"/>
    <w:rsid w:val="00396E77"/>
    <w:rsid w:val="00397C96"/>
    <w:rsid w:val="003A5E3D"/>
    <w:rsid w:val="003B5C30"/>
    <w:rsid w:val="003C35C9"/>
    <w:rsid w:val="003D2AFD"/>
    <w:rsid w:val="003D5BE6"/>
    <w:rsid w:val="003D6EB9"/>
    <w:rsid w:val="003E0E83"/>
    <w:rsid w:val="003E1510"/>
    <w:rsid w:val="003E17C1"/>
    <w:rsid w:val="003E4E2D"/>
    <w:rsid w:val="004055FA"/>
    <w:rsid w:val="004066D4"/>
    <w:rsid w:val="004246F2"/>
    <w:rsid w:val="00424E39"/>
    <w:rsid w:val="00427291"/>
    <w:rsid w:val="00431832"/>
    <w:rsid w:val="00435C55"/>
    <w:rsid w:val="00436942"/>
    <w:rsid w:val="00444196"/>
    <w:rsid w:val="00456C71"/>
    <w:rsid w:val="00463AB7"/>
    <w:rsid w:val="004659DE"/>
    <w:rsid w:val="0047746C"/>
    <w:rsid w:val="00481AE7"/>
    <w:rsid w:val="00482252"/>
    <w:rsid w:val="00485C19"/>
    <w:rsid w:val="00491A59"/>
    <w:rsid w:val="00496DC3"/>
    <w:rsid w:val="004B69D3"/>
    <w:rsid w:val="004C1B46"/>
    <w:rsid w:val="004C397D"/>
    <w:rsid w:val="004D58BC"/>
    <w:rsid w:val="004E20D7"/>
    <w:rsid w:val="004F18DD"/>
    <w:rsid w:val="004F27BD"/>
    <w:rsid w:val="004F7F06"/>
    <w:rsid w:val="00502D9E"/>
    <w:rsid w:val="00503F04"/>
    <w:rsid w:val="00507EE9"/>
    <w:rsid w:val="00523A22"/>
    <w:rsid w:val="00530D32"/>
    <w:rsid w:val="00557518"/>
    <w:rsid w:val="00561F81"/>
    <w:rsid w:val="00563B8C"/>
    <w:rsid w:val="0057082B"/>
    <w:rsid w:val="005859B6"/>
    <w:rsid w:val="00587345"/>
    <w:rsid w:val="00591707"/>
    <w:rsid w:val="00597BE8"/>
    <w:rsid w:val="005A6C8D"/>
    <w:rsid w:val="005C137B"/>
    <w:rsid w:val="005C1A1A"/>
    <w:rsid w:val="005C1AD1"/>
    <w:rsid w:val="005C2875"/>
    <w:rsid w:val="005E6C9C"/>
    <w:rsid w:val="005F2962"/>
    <w:rsid w:val="005F3626"/>
    <w:rsid w:val="00601AED"/>
    <w:rsid w:val="0060287E"/>
    <w:rsid w:val="0061522B"/>
    <w:rsid w:val="00616264"/>
    <w:rsid w:val="00620DD7"/>
    <w:rsid w:val="00625A41"/>
    <w:rsid w:val="00635FE4"/>
    <w:rsid w:val="00640822"/>
    <w:rsid w:val="006465DE"/>
    <w:rsid w:val="00654A1C"/>
    <w:rsid w:val="00656711"/>
    <w:rsid w:val="00672325"/>
    <w:rsid w:val="0067514C"/>
    <w:rsid w:val="006811B3"/>
    <w:rsid w:val="0069591A"/>
    <w:rsid w:val="006A09E6"/>
    <w:rsid w:val="006A56B8"/>
    <w:rsid w:val="006B5172"/>
    <w:rsid w:val="006B5E0A"/>
    <w:rsid w:val="006C247B"/>
    <w:rsid w:val="006E47B2"/>
    <w:rsid w:val="006E6F4E"/>
    <w:rsid w:val="006F1BCD"/>
    <w:rsid w:val="00700A9B"/>
    <w:rsid w:val="00710389"/>
    <w:rsid w:val="007129CD"/>
    <w:rsid w:val="00722DA2"/>
    <w:rsid w:val="00733552"/>
    <w:rsid w:val="00743D03"/>
    <w:rsid w:val="0074681E"/>
    <w:rsid w:val="0074750A"/>
    <w:rsid w:val="007539DA"/>
    <w:rsid w:val="00761E3C"/>
    <w:rsid w:val="007660B9"/>
    <w:rsid w:val="00772652"/>
    <w:rsid w:val="007760E4"/>
    <w:rsid w:val="007813BB"/>
    <w:rsid w:val="00784272"/>
    <w:rsid w:val="00786EA4"/>
    <w:rsid w:val="0079152C"/>
    <w:rsid w:val="007B2938"/>
    <w:rsid w:val="007B730F"/>
    <w:rsid w:val="007C560B"/>
    <w:rsid w:val="007E2A54"/>
    <w:rsid w:val="007F5CF5"/>
    <w:rsid w:val="00801390"/>
    <w:rsid w:val="0080554B"/>
    <w:rsid w:val="008106C4"/>
    <w:rsid w:val="00833CF2"/>
    <w:rsid w:val="008372B8"/>
    <w:rsid w:val="00864EBF"/>
    <w:rsid w:val="00875A6E"/>
    <w:rsid w:val="00885A10"/>
    <w:rsid w:val="008959B4"/>
    <w:rsid w:val="00896D3E"/>
    <w:rsid w:val="008A2D0B"/>
    <w:rsid w:val="008B12CC"/>
    <w:rsid w:val="008C0327"/>
    <w:rsid w:val="008C1D17"/>
    <w:rsid w:val="008C2CAB"/>
    <w:rsid w:val="008C6EC9"/>
    <w:rsid w:val="008D29B7"/>
    <w:rsid w:val="008E486B"/>
    <w:rsid w:val="008F00B7"/>
    <w:rsid w:val="008F054B"/>
    <w:rsid w:val="008F27E0"/>
    <w:rsid w:val="008F4227"/>
    <w:rsid w:val="008F5E86"/>
    <w:rsid w:val="008F6A01"/>
    <w:rsid w:val="00925177"/>
    <w:rsid w:val="00925C3E"/>
    <w:rsid w:val="00926C2E"/>
    <w:rsid w:val="00930914"/>
    <w:rsid w:val="009452DE"/>
    <w:rsid w:val="00950618"/>
    <w:rsid w:val="00951235"/>
    <w:rsid w:val="009555A5"/>
    <w:rsid w:val="00956522"/>
    <w:rsid w:val="00957D8E"/>
    <w:rsid w:val="009630EE"/>
    <w:rsid w:val="0096344D"/>
    <w:rsid w:val="00964D90"/>
    <w:rsid w:val="00970E64"/>
    <w:rsid w:val="009718F4"/>
    <w:rsid w:val="00987DBE"/>
    <w:rsid w:val="00990E07"/>
    <w:rsid w:val="009A0BDB"/>
    <w:rsid w:val="009A16DA"/>
    <w:rsid w:val="009A5013"/>
    <w:rsid w:val="009A57E0"/>
    <w:rsid w:val="009A5E1A"/>
    <w:rsid w:val="009B0E89"/>
    <w:rsid w:val="009B263E"/>
    <w:rsid w:val="009B47AE"/>
    <w:rsid w:val="009E0F8D"/>
    <w:rsid w:val="009E74B4"/>
    <w:rsid w:val="009F0633"/>
    <w:rsid w:val="009F07C4"/>
    <w:rsid w:val="009F34B8"/>
    <w:rsid w:val="00A04A4F"/>
    <w:rsid w:val="00A12BEF"/>
    <w:rsid w:val="00A20F68"/>
    <w:rsid w:val="00A26BDD"/>
    <w:rsid w:val="00A33B80"/>
    <w:rsid w:val="00A34A2E"/>
    <w:rsid w:val="00A36C2F"/>
    <w:rsid w:val="00A47D34"/>
    <w:rsid w:val="00A526EB"/>
    <w:rsid w:val="00A62A71"/>
    <w:rsid w:val="00A70070"/>
    <w:rsid w:val="00A80C90"/>
    <w:rsid w:val="00A81278"/>
    <w:rsid w:val="00AA6094"/>
    <w:rsid w:val="00AB4A40"/>
    <w:rsid w:val="00AC0331"/>
    <w:rsid w:val="00AC7402"/>
    <w:rsid w:val="00AD05DC"/>
    <w:rsid w:val="00AD0969"/>
    <w:rsid w:val="00AD2DCA"/>
    <w:rsid w:val="00AE45DD"/>
    <w:rsid w:val="00AE5178"/>
    <w:rsid w:val="00AF3E88"/>
    <w:rsid w:val="00B031A4"/>
    <w:rsid w:val="00B0733E"/>
    <w:rsid w:val="00B13590"/>
    <w:rsid w:val="00B13CE0"/>
    <w:rsid w:val="00B143C4"/>
    <w:rsid w:val="00B14BA4"/>
    <w:rsid w:val="00B177D0"/>
    <w:rsid w:val="00B24715"/>
    <w:rsid w:val="00B26A26"/>
    <w:rsid w:val="00B467D2"/>
    <w:rsid w:val="00B86AF8"/>
    <w:rsid w:val="00B90B1B"/>
    <w:rsid w:val="00B953FA"/>
    <w:rsid w:val="00B95C6C"/>
    <w:rsid w:val="00B97A1B"/>
    <w:rsid w:val="00BA466F"/>
    <w:rsid w:val="00BA77F9"/>
    <w:rsid w:val="00BB32EC"/>
    <w:rsid w:val="00BB4BFD"/>
    <w:rsid w:val="00BB5AC6"/>
    <w:rsid w:val="00BB6C63"/>
    <w:rsid w:val="00BB7FB6"/>
    <w:rsid w:val="00BC0EBB"/>
    <w:rsid w:val="00BC1765"/>
    <w:rsid w:val="00BE2C9C"/>
    <w:rsid w:val="00BE59A3"/>
    <w:rsid w:val="00BF0DA3"/>
    <w:rsid w:val="00C07731"/>
    <w:rsid w:val="00C10C0C"/>
    <w:rsid w:val="00C111C2"/>
    <w:rsid w:val="00C23BE3"/>
    <w:rsid w:val="00C34FB1"/>
    <w:rsid w:val="00C460CA"/>
    <w:rsid w:val="00C50D72"/>
    <w:rsid w:val="00C50E38"/>
    <w:rsid w:val="00C63485"/>
    <w:rsid w:val="00C72A4F"/>
    <w:rsid w:val="00C72AC4"/>
    <w:rsid w:val="00C73C6F"/>
    <w:rsid w:val="00C751AF"/>
    <w:rsid w:val="00C76E64"/>
    <w:rsid w:val="00C86F89"/>
    <w:rsid w:val="00C91AA6"/>
    <w:rsid w:val="00CA52FC"/>
    <w:rsid w:val="00CA633A"/>
    <w:rsid w:val="00CD2562"/>
    <w:rsid w:val="00CD431B"/>
    <w:rsid w:val="00CD5915"/>
    <w:rsid w:val="00CD7865"/>
    <w:rsid w:val="00CF1916"/>
    <w:rsid w:val="00CF1EEF"/>
    <w:rsid w:val="00CF2EC5"/>
    <w:rsid w:val="00D00BBD"/>
    <w:rsid w:val="00D03F05"/>
    <w:rsid w:val="00D072F4"/>
    <w:rsid w:val="00D07328"/>
    <w:rsid w:val="00D15165"/>
    <w:rsid w:val="00D169EC"/>
    <w:rsid w:val="00D2438D"/>
    <w:rsid w:val="00D40CA6"/>
    <w:rsid w:val="00D453B5"/>
    <w:rsid w:val="00D52AF5"/>
    <w:rsid w:val="00D57734"/>
    <w:rsid w:val="00D639AB"/>
    <w:rsid w:val="00D6649C"/>
    <w:rsid w:val="00D77B35"/>
    <w:rsid w:val="00D91176"/>
    <w:rsid w:val="00D92248"/>
    <w:rsid w:val="00D94EFD"/>
    <w:rsid w:val="00DA27A7"/>
    <w:rsid w:val="00DB2469"/>
    <w:rsid w:val="00DB3C10"/>
    <w:rsid w:val="00DB7CA7"/>
    <w:rsid w:val="00DC2C52"/>
    <w:rsid w:val="00DF3022"/>
    <w:rsid w:val="00E04CFB"/>
    <w:rsid w:val="00E124D6"/>
    <w:rsid w:val="00E1273F"/>
    <w:rsid w:val="00E237DD"/>
    <w:rsid w:val="00E413B6"/>
    <w:rsid w:val="00E416B9"/>
    <w:rsid w:val="00E41D22"/>
    <w:rsid w:val="00E43068"/>
    <w:rsid w:val="00E51742"/>
    <w:rsid w:val="00E7463A"/>
    <w:rsid w:val="00E83DAA"/>
    <w:rsid w:val="00E9154C"/>
    <w:rsid w:val="00EA4959"/>
    <w:rsid w:val="00EA564C"/>
    <w:rsid w:val="00EB45C2"/>
    <w:rsid w:val="00EC5D01"/>
    <w:rsid w:val="00EC62EC"/>
    <w:rsid w:val="00ED1836"/>
    <w:rsid w:val="00ED592D"/>
    <w:rsid w:val="00EE087A"/>
    <w:rsid w:val="00EE3515"/>
    <w:rsid w:val="00F00D97"/>
    <w:rsid w:val="00F17062"/>
    <w:rsid w:val="00F26C15"/>
    <w:rsid w:val="00F271CF"/>
    <w:rsid w:val="00F311B0"/>
    <w:rsid w:val="00F36B87"/>
    <w:rsid w:val="00F40597"/>
    <w:rsid w:val="00F40D0C"/>
    <w:rsid w:val="00F42E45"/>
    <w:rsid w:val="00F4321A"/>
    <w:rsid w:val="00F465DA"/>
    <w:rsid w:val="00F46C08"/>
    <w:rsid w:val="00F56B5A"/>
    <w:rsid w:val="00F74E20"/>
    <w:rsid w:val="00F75172"/>
    <w:rsid w:val="00F755E8"/>
    <w:rsid w:val="00F80E0C"/>
    <w:rsid w:val="00F840B2"/>
    <w:rsid w:val="00F95028"/>
    <w:rsid w:val="00FA3CAC"/>
    <w:rsid w:val="00FB060F"/>
    <w:rsid w:val="00FB283F"/>
    <w:rsid w:val="00FB47DC"/>
    <w:rsid w:val="00FB60C2"/>
    <w:rsid w:val="00FD35E1"/>
    <w:rsid w:val="00FE1BFE"/>
    <w:rsid w:val="00FF3BE0"/>
    <w:rsid w:val="00FF413E"/>
    <w:rsid w:val="00FF68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B4"/>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0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6711"/>
    <w:rPr>
      <w:rFonts w:ascii="Tahoma" w:hAnsi="Tahoma" w:cs="Tahoma"/>
      <w:sz w:val="16"/>
      <w:szCs w:val="16"/>
    </w:rPr>
  </w:style>
  <w:style w:type="character" w:customStyle="1" w:styleId="BalloonTextChar">
    <w:name w:val="Balloon Text Char"/>
    <w:basedOn w:val="DefaultParagraphFont"/>
    <w:link w:val="BalloonText"/>
    <w:uiPriority w:val="99"/>
    <w:semiHidden/>
    <w:rsid w:val="00656711"/>
    <w:rPr>
      <w:rFonts w:ascii="Tahoma" w:hAnsi="Tahoma" w:cs="Tahoma"/>
      <w:sz w:val="16"/>
      <w:szCs w:val="16"/>
    </w:rPr>
  </w:style>
  <w:style w:type="paragraph" w:styleId="Header">
    <w:name w:val="header"/>
    <w:basedOn w:val="Normal"/>
    <w:link w:val="HeaderChar"/>
    <w:uiPriority w:val="99"/>
    <w:unhideWhenUsed/>
    <w:rsid w:val="00926C2E"/>
    <w:pPr>
      <w:tabs>
        <w:tab w:val="center" w:pos="4513"/>
        <w:tab w:val="right" w:pos="9026"/>
      </w:tabs>
    </w:pPr>
  </w:style>
  <w:style w:type="character" w:customStyle="1" w:styleId="HeaderChar">
    <w:name w:val="Header Char"/>
    <w:basedOn w:val="DefaultParagraphFont"/>
    <w:link w:val="Header"/>
    <w:uiPriority w:val="99"/>
    <w:rsid w:val="00926C2E"/>
  </w:style>
  <w:style w:type="paragraph" w:styleId="Footer">
    <w:name w:val="footer"/>
    <w:basedOn w:val="Normal"/>
    <w:link w:val="FooterChar"/>
    <w:uiPriority w:val="99"/>
    <w:unhideWhenUsed/>
    <w:rsid w:val="00926C2E"/>
    <w:pPr>
      <w:tabs>
        <w:tab w:val="center" w:pos="4513"/>
        <w:tab w:val="right" w:pos="9026"/>
      </w:tabs>
    </w:pPr>
  </w:style>
  <w:style w:type="character" w:customStyle="1" w:styleId="FooterChar">
    <w:name w:val="Footer Char"/>
    <w:basedOn w:val="DefaultParagraphFont"/>
    <w:link w:val="Footer"/>
    <w:uiPriority w:val="99"/>
    <w:rsid w:val="00926C2E"/>
  </w:style>
  <w:style w:type="character" w:styleId="Hyperlink">
    <w:name w:val="Hyperlink"/>
    <w:basedOn w:val="DefaultParagraphFont"/>
    <w:unhideWhenUsed/>
    <w:rsid w:val="00283187"/>
    <w:rPr>
      <w:color w:val="0000FF"/>
      <w:u w:val="single"/>
    </w:rPr>
  </w:style>
  <w:style w:type="paragraph" w:styleId="PlainText">
    <w:name w:val="Plain Text"/>
    <w:basedOn w:val="Normal"/>
    <w:link w:val="PlainTextChar"/>
    <w:uiPriority w:val="99"/>
    <w:semiHidden/>
    <w:unhideWhenUsed/>
    <w:rsid w:val="00964D90"/>
    <w:rPr>
      <w:rFonts w:ascii="Consolas" w:hAnsi="Consolas"/>
      <w:sz w:val="21"/>
      <w:szCs w:val="21"/>
      <w:lang w:val="en-US"/>
    </w:rPr>
  </w:style>
  <w:style w:type="character" w:customStyle="1" w:styleId="PlainTextChar">
    <w:name w:val="Plain Text Char"/>
    <w:basedOn w:val="DefaultParagraphFont"/>
    <w:link w:val="PlainText"/>
    <w:uiPriority w:val="99"/>
    <w:semiHidden/>
    <w:rsid w:val="00964D90"/>
    <w:rPr>
      <w:rFonts w:ascii="Consolas" w:eastAsia="Calibri" w:hAnsi="Consolas" w:cs="Times New Roman"/>
      <w:sz w:val="21"/>
      <w:szCs w:val="21"/>
    </w:rPr>
  </w:style>
  <w:style w:type="paragraph" w:styleId="ListParagraph">
    <w:name w:val="List Paragraph"/>
    <w:basedOn w:val="Normal"/>
    <w:uiPriority w:val="34"/>
    <w:qFormat/>
    <w:rsid w:val="00925177"/>
    <w:pPr>
      <w:ind w:left="720"/>
      <w:contextualSpacing/>
    </w:pPr>
  </w:style>
  <w:style w:type="paragraph" w:styleId="BodyTextIndent">
    <w:name w:val="Body Text Indent"/>
    <w:basedOn w:val="Normal"/>
    <w:link w:val="BodyTextIndentChar"/>
    <w:uiPriority w:val="99"/>
    <w:rsid w:val="00635FE4"/>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635FE4"/>
    <w:rPr>
      <w:rFonts w:ascii="Arial" w:eastAsia="Times New Roman" w:hAnsi="Arial" w:cs="Arial"/>
      <w:sz w:val="24"/>
      <w:szCs w:val="24"/>
      <w:lang w:val="en-IE"/>
    </w:rPr>
  </w:style>
  <w:style w:type="character" w:styleId="CommentReference">
    <w:name w:val="annotation reference"/>
    <w:basedOn w:val="DefaultParagraphFont"/>
    <w:uiPriority w:val="99"/>
    <w:semiHidden/>
    <w:unhideWhenUsed/>
    <w:rsid w:val="00300372"/>
    <w:rPr>
      <w:sz w:val="16"/>
      <w:szCs w:val="16"/>
    </w:rPr>
  </w:style>
  <w:style w:type="paragraph" w:styleId="CommentText">
    <w:name w:val="annotation text"/>
    <w:basedOn w:val="Normal"/>
    <w:link w:val="CommentTextChar"/>
    <w:uiPriority w:val="99"/>
    <w:semiHidden/>
    <w:unhideWhenUsed/>
    <w:rsid w:val="00300372"/>
    <w:rPr>
      <w:sz w:val="20"/>
      <w:szCs w:val="20"/>
    </w:rPr>
  </w:style>
  <w:style w:type="character" w:customStyle="1" w:styleId="CommentTextChar">
    <w:name w:val="Comment Text Char"/>
    <w:basedOn w:val="DefaultParagraphFont"/>
    <w:link w:val="CommentText"/>
    <w:uiPriority w:val="99"/>
    <w:semiHidden/>
    <w:rsid w:val="00300372"/>
    <w:rPr>
      <w:lang w:val="en-IE"/>
    </w:rPr>
  </w:style>
  <w:style w:type="paragraph" w:styleId="CommentSubject">
    <w:name w:val="annotation subject"/>
    <w:basedOn w:val="CommentText"/>
    <w:next w:val="CommentText"/>
    <w:link w:val="CommentSubjectChar"/>
    <w:uiPriority w:val="99"/>
    <w:semiHidden/>
    <w:unhideWhenUsed/>
    <w:rsid w:val="00300372"/>
    <w:rPr>
      <w:b/>
      <w:bCs/>
    </w:rPr>
  </w:style>
  <w:style w:type="character" w:customStyle="1" w:styleId="CommentSubjectChar">
    <w:name w:val="Comment Subject Char"/>
    <w:basedOn w:val="CommentTextChar"/>
    <w:link w:val="CommentSubject"/>
    <w:uiPriority w:val="99"/>
    <w:semiHidden/>
    <w:rsid w:val="00300372"/>
    <w:rPr>
      <w:b/>
      <w:bCs/>
      <w:lang w:val="en-IE"/>
    </w:rPr>
  </w:style>
  <w:style w:type="character" w:styleId="FollowedHyperlink">
    <w:name w:val="FollowedHyperlink"/>
    <w:basedOn w:val="DefaultParagraphFont"/>
    <w:uiPriority w:val="99"/>
    <w:semiHidden/>
    <w:unhideWhenUsed/>
    <w:rsid w:val="00597BE8"/>
    <w:rPr>
      <w:color w:val="800080" w:themeColor="followedHyperlink"/>
      <w:u w:val="single"/>
    </w:rPr>
  </w:style>
  <w:style w:type="paragraph" w:styleId="FootnoteText">
    <w:name w:val="footnote text"/>
    <w:basedOn w:val="Normal"/>
    <w:link w:val="FootnoteTextChar"/>
    <w:uiPriority w:val="99"/>
    <w:semiHidden/>
    <w:unhideWhenUsed/>
    <w:rsid w:val="00275877"/>
    <w:rPr>
      <w:sz w:val="20"/>
      <w:szCs w:val="20"/>
    </w:rPr>
  </w:style>
  <w:style w:type="character" w:customStyle="1" w:styleId="FootnoteTextChar">
    <w:name w:val="Footnote Text Char"/>
    <w:basedOn w:val="DefaultParagraphFont"/>
    <w:link w:val="FootnoteText"/>
    <w:uiPriority w:val="99"/>
    <w:semiHidden/>
    <w:rsid w:val="00275877"/>
    <w:rPr>
      <w:lang w:val="en-IE"/>
    </w:rPr>
  </w:style>
  <w:style w:type="character" w:styleId="FootnoteReference">
    <w:name w:val="footnote reference"/>
    <w:basedOn w:val="DefaultParagraphFont"/>
    <w:uiPriority w:val="99"/>
    <w:semiHidden/>
    <w:unhideWhenUsed/>
    <w:rsid w:val="002758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B4"/>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00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6711"/>
    <w:rPr>
      <w:rFonts w:ascii="Tahoma" w:hAnsi="Tahoma" w:cs="Tahoma"/>
      <w:sz w:val="16"/>
      <w:szCs w:val="16"/>
    </w:rPr>
  </w:style>
  <w:style w:type="character" w:customStyle="1" w:styleId="BalloonTextChar">
    <w:name w:val="Balloon Text Char"/>
    <w:basedOn w:val="DefaultParagraphFont"/>
    <w:link w:val="BalloonText"/>
    <w:uiPriority w:val="99"/>
    <w:semiHidden/>
    <w:rsid w:val="00656711"/>
    <w:rPr>
      <w:rFonts w:ascii="Tahoma" w:hAnsi="Tahoma" w:cs="Tahoma"/>
      <w:sz w:val="16"/>
      <w:szCs w:val="16"/>
    </w:rPr>
  </w:style>
  <w:style w:type="paragraph" w:styleId="Header">
    <w:name w:val="header"/>
    <w:basedOn w:val="Normal"/>
    <w:link w:val="HeaderChar"/>
    <w:uiPriority w:val="99"/>
    <w:unhideWhenUsed/>
    <w:rsid w:val="00926C2E"/>
    <w:pPr>
      <w:tabs>
        <w:tab w:val="center" w:pos="4513"/>
        <w:tab w:val="right" w:pos="9026"/>
      </w:tabs>
    </w:pPr>
  </w:style>
  <w:style w:type="character" w:customStyle="1" w:styleId="HeaderChar">
    <w:name w:val="Header Char"/>
    <w:basedOn w:val="DefaultParagraphFont"/>
    <w:link w:val="Header"/>
    <w:uiPriority w:val="99"/>
    <w:rsid w:val="00926C2E"/>
  </w:style>
  <w:style w:type="paragraph" w:styleId="Footer">
    <w:name w:val="footer"/>
    <w:basedOn w:val="Normal"/>
    <w:link w:val="FooterChar"/>
    <w:uiPriority w:val="99"/>
    <w:unhideWhenUsed/>
    <w:rsid w:val="00926C2E"/>
    <w:pPr>
      <w:tabs>
        <w:tab w:val="center" w:pos="4513"/>
        <w:tab w:val="right" w:pos="9026"/>
      </w:tabs>
    </w:pPr>
  </w:style>
  <w:style w:type="character" w:customStyle="1" w:styleId="FooterChar">
    <w:name w:val="Footer Char"/>
    <w:basedOn w:val="DefaultParagraphFont"/>
    <w:link w:val="Footer"/>
    <w:uiPriority w:val="99"/>
    <w:rsid w:val="00926C2E"/>
  </w:style>
  <w:style w:type="character" w:styleId="Hyperlink">
    <w:name w:val="Hyperlink"/>
    <w:basedOn w:val="DefaultParagraphFont"/>
    <w:unhideWhenUsed/>
    <w:rsid w:val="00283187"/>
    <w:rPr>
      <w:color w:val="0000FF"/>
      <w:u w:val="single"/>
    </w:rPr>
  </w:style>
  <w:style w:type="paragraph" w:styleId="PlainText">
    <w:name w:val="Plain Text"/>
    <w:basedOn w:val="Normal"/>
    <w:link w:val="PlainTextChar"/>
    <w:uiPriority w:val="99"/>
    <w:semiHidden/>
    <w:unhideWhenUsed/>
    <w:rsid w:val="00964D90"/>
    <w:rPr>
      <w:rFonts w:ascii="Consolas" w:hAnsi="Consolas"/>
      <w:sz w:val="21"/>
      <w:szCs w:val="21"/>
      <w:lang w:val="en-US"/>
    </w:rPr>
  </w:style>
  <w:style w:type="character" w:customStyle="1" w:styleId="PlainTextChar">
    <w:name w:val="Plain Text Char"/>
    <w:basedOn w:val="DefaultParagraphFont"/>
    <w:link w:val="PlainText"/>
    <w:uiPriority w:val="99"/>
    <w:semiHidden/>
    <w:rsid w:val="00964D90"/>
    <w:rPr>
      <w:rFonts w:ascii="Consolas" w:eastAsia="Calibri" w:hAnsi="Consolas" w:cs="Times New Roman"/>
      <w:sz w:val="21"/>
      <w:szCs w:val="21"/>
    </w:rPr>
  </w:style>
  <w:style w:type="paragraph" w:styleId="ListParagraph">
    <w:name w:val="List Paragraph"/>
    <w:basedOn w:val="Normal"/>
    <w:uiPriority w:val="34"/>
    <w:qFormat/>
    <w:rsid w:val="00925177"/>
    <w:pPr>
      <w:ind w:left="720"/>
      <w:contextualSpacing/>
    </w:pPr>
  </w:style>
  <w:style w:type="paragraph" w:styleId="BodyTextIndent">
    <w:name w:val="Body Text Indent"/>
    <w:basedOn w:val="Normal"/>
    <w:link w:val="BodyTextIndentChar"/>
    <w:uiPriority w:val="99"/>
    <w:rsid w:val="00635FE4"/>
    <w:pPr>
      <w:ind w:left="720" w:hanging="720"/>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rsid w:val="00635FE4"/>
    <w:rPr>
      <w:rFonts w:ascii="Arial" w:eastAsia="Times New Roman" w:hAnsi="Arial" w:cs="Arial"/>
      <w:sz w:val="24"/>
      <w:szCs w:val="24"/>
      <w:lang w:val="en-IE"/>
    </w:rPr>
  </w:style>
  <w:style w:type="character" w:styleId="CommentReference">
    <w:name w:val="annotation reference"/>
    <w:basedOn w:val="DefaultParagraphFont"/>
    <w:uiPriority w:val="99"/>
    <w:semiHidden/>
    <w:unhideWhenUsed/>
    <w:rsid w:val="00300372"/>
    <w:rPr>
      <w:sz w:val="16"/>
      <w:szCs w:val="16"/>
    </w:rPr>
  </w:style>
  <w:style w:type="paragraph" w:styleId="CommentText">
    <w:name w:val="annotation text"/>
    <w:basedOn w:val="Normal"/>
    <w:link w:val="CommentTextChar"/>
    <w:uiPriority w:val="99"/>
    <w:semiHidden/>
    <w:unhideWhenUsed/>
    <w:rsid w:val="00300372"/>
    <w:rPr>
      <w:sz w:val="20"/>
      <w:szCs w:val="20"/>
    </w:rPr>
  </w:style>
  <w:style w:type="character" w:customStyle="1" w:styleId="CommentTextChar">
    <w:name w:val="Comment Text Char"/>
    <w:basedOn w:val="DefaultParagraphFont"/>
    <w:link w:val="CommentText"/>
    <w:uiPriority w:val="99"/>
    <w:semiHidden/>
    <w:rsid w:val="00300372"/>
    <w:rPr>
      <w:lang w:val="en-IE"/>
    </w:rPr>
  </w:style>
  <w:style w:type="paragraph" w:styleId="CommentSubject">
    <w:name w:val="annotation subject"/>
    <w:basedOn w:val="CommentText"/>
    <w:next w:val="CommentText"/>
    <w:link w:val="CommentSubjectChar"/>
    <w:uiPriority w:val="99"/>
    <w:semiHidden/>
    <w:unhideWhenUsed/>
    <w:rsid w:val="00300372"/>
    <w:rPr>
      <w:b/>
      <w:bCs/>
    </w:rPr>
  </w:style>
  <w:style w:type="character" w:customStyle="1" w:styleId="CommentSubjectChar">
    <w:name w:val="Comment Subject Char"/>
    <w:basedOn w:val="CommentTextChar"/>
    <w:link w:val="CommentSubject"/>
    <w:uiPriority w:val="99"/>
    <w:semiHidden/>
    <w:rsid w:val="00300372"/>
    <w:rPr>
      <w:b/>
      <w:bCs/>
      <w:lang w:val="en-IE"/>
    </w:rPr>
  </w:style>
  <w:style w:type="character" w:styleId="FollowedHyperlink">
    <w:name w:val="FollowedHyperlink"/>
    <w:basedOn w:val="DefaultParagraphFont"/>
    <w:uiPriority w:val="99"/>
    <w:semiHidden/>
    <w:unhideWhenUsed/>
    <w:rsid w:val="00597BE8"/>
    <w:rPr>
      <w:color w:val="800080" w:themeColor="followedHyperlink"/>
      <w:u w:val="single"/>
    </w:rPr>
  </w:style>
  <w:style w:type="paragraph" w:styleId="FootnoteText">
    <w:name w:val="footnote text"/>
    <w:basedOn w:val="Normal"/>
    <w:link w:val="FootnoteTextChar"/>
    <w:uiPriority w:val="99"/>
    <w:semiHidden/>
    <w:unhideWhenUsed/>
    <w:rsid w:val="00275877"/>
    <w:rPr>
      <w:sz w:val="20"/>
      <w:szCs w:val="20"/>
    </w:rPr>
  </w:style>
  <w:style w:type="character" w:customStyle="1" w:styleId="FootnoteTextChar">
    <w:name w:val="Footnote Text Char"/>
    <w:basedOn w:val="DefaultParagraphFont"/>
    <w:link w:val="FootnoteText"/>
    <w:uiPriority w:val="99"/>
    <w:semiHidden/>
    <w:rsid w:val="00275877"/>
    <w:rPr>
      <w:lang w:val="en-IE"/>
    </w:rPr>
  </w:style>
  <w:style w:type="character" w:styleId="FootnoteReference">
    <w:name w:val="footnote reference"/>
    <w:basedOn w:val="DefaultParagraphFont"/>
    <w:uiPriority w:val="99"/>
    <w:semiHidden/>
    <w:unhideWhenUsed/>
    <w:rsid w:val="002758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83357">
      <w:bodyDiv w:val="1"/>
      <w:marLeft w:val="0"/>
      <w:marRight w:val="0"/>
      <w:marTop w:val="0"/>
      <w:marBottom w:val="0"/>
      <w:divBdr>
        <w:top w:val="none" w:sz="0" w:space="0" w:color="auto"/>
        <w:left w:val="none" w:sz="0" w:space="0" w:color="auto"/>
        <w:bottom w:val="none" w:sz="0" w:space="0" w:color="auto"/>
        <w:right w:val="none" w:sz="0" w:space="0" w:color="auto"/>
      </w:divBdr>
    </w:div>
    <w:div w:id="783966194">
      <w:bodyDiv w:val="1"/>
      <w:marLeft w:val="0"/>
      <w:marRight w:val="0"/>
      <w:marTop w:val="0"/>
      <w:marBottom w:val="0"/>
      <w:divBdr>
        <w:top w:val="none" w:sz="0" w:space="0" w:color="auto"/>
        <w:left w:val="none" w:sz="0" w:space="0" w:color="auto"/>
        <w:bottom w:val="none" w:sz="0" w:space="0" w:color="auto"/>
        <w:right w:val="none" w:sz="0" w:space="0" w:color="auto"/>
      </w:divBdr>
    </w:div>
    <w:div w:id="843978354">
      <w:bodyDiv w:val="1"/>
      <w:marLeft w:val="0"/>
      <w:marRight w:val="0"/>
      <w:marTop w:val="0"/>
      <w:marBottom w:val="0"/>
      <w:divBdr>
        <w:top w:val="none" w:sz="0" w:space="0" w:color="auto"/>
        <w:left w:val="none" w:sz="0" w:space="0" w:color="auto"/>
        <w:bottom w:val="none" w:sz="0" w:space="0" w:color="auto"/>
        <w:right w:val="none" w:sz="0" w:space="0" w:color="auto"/>
      </w:divBdr>
    </w:div>
    <w:div w:id="982780105">
      <w:bodyDiv w:val="1"/>
      <w:marLeft w:val="0"/>
      <w:marRight w:val="0"/>
      <w:marTop w:val="0"/>
      <w:marBottom w:val="0"/>
      <w:divBdr>
        <w:top w:val="none" w:sz="0" w:space="0" w:color="auto"/>
        <w:left w:val="none" w:sz="0" w:space="0" w:color="auto"/>
        <w:bottom w:val="none" w:sz="0" w:space="0" w:color="auto"/>
        <w:right w:val="none" w:sz="0" w:space="0" w:color="auto"/>
      </w:divBdr>
    </w:div>
    <w:div w:id="1350988432">
      <w:bodyDiv w:val="1"/>
      <w:marLeft w:val="0"/>
      <w:marRight w:val="0"/>
      <w:marTop w:val="0"/>
      <w:marBottom w:val="0"/>
      <w:divBdr>
        <w:top w:val="none" w:sz="0" w:space="0" w:color="auto"/>
        <w:left w:val="none" w:sz="0" w:space="0" w:color="auto"/>
        <w:bottom w:val="none" w:sz="0" w:space="0" w:color="auto"/>
        <w:right w:val="none" w:sz="0" w:space="0" w:color="auto"/>
      </w:divBdr>
    </w:div>
    <w:div w:id="1636789939">
      <w:bodyDiv w:val="1"/>
      <w:marLeft w:val="0"/>
      <w:marRight w:val="0"/>
      <w:marTop w:val="0"/>
      <w:marBottom w:val="0"/>
      <w:divBdr>
        <w:top w:val="none" w:sz="0" w:space="0" w:color="auto"/>
        <w:left w:val="none" w:sz="0" w:space="0" w:color="auto"/>
        <w:bottom w:val="none" w:sz="0" w:space="0" w:color="auto"/>
        <w:right w:val="none" w:sz="0" w:space="0" w:color="auto"/>
      </w:divBdr>
    </w:div>
    <w:div w:id="186246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uigalway.ie/student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A16B5-CFF3-4D85-864C-F587001869CD}">
  <ds:schemaRefs>
    <ds:schemaRef ds:uri="http://schemas.microsoft.com/sharepoint/v3/contenttype/forms"/>
  </ds:schemaRefs>
</ds:datastoreItem>
</file>

<file path=customXml/itemProps2.xml><?xml version="1.0" encoding="utf-8"?>
<ds:datastoreItem xmlns:ds="http://schemas.openxmlformats.org/officeDocument/2006/customXml" ds:itemID="{6D444E7A-6736-4E46-A3A8-DB8FDE56721F}">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s>
</ds:datastoreItem>
</file>

<file path=customXml/itemProps3.xml><?xml version="1.0" encoding="utf-8"?>
<ds:datastoreItem xmlns:ds="http://schemas.openxmlformats.org/officeDocument/2006/customXml" ds:itemID="{EA9394CB-C60F-408C-B52B-F9E675B54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A20EBC-DB70-497A-AE64-4B85AD836BAA}">
  <ds:schemaRefs>
    <ds:schemaRef ds:uri="http://schemas.openxmlformats.org/officeDocument/2006/bibliography"/>
  </ds:schemaRefs>
</ds:datastoreItem>
</file>

<file path=customXml/itemProps5.xml><?xml version="1.0" encoding="utf-8"?>
<ds:datastoreItem xmlns:ds="http://schemas.openxmlformats.org/officeDocument/2006/customXml" ds:itemID="{BF281F22-C202-4E24-816A-BE8B0F50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Fallon, Maura</cp:lastModifiedBy>
  <cp:revision>2</cp:revision>
  <cp:lastPrinted>2013-09-03T10:44:00Z</cp:lastPrinted>
  <dcterms:created xsi:type="dcterms:W3CDTF">2016-05-26T09:54:00Z</dcterms:created>
  <dcterms:modified xsi:type="dcterms:W3CDTF">2016-05-26T09:54:00Z</dcterms:modified>
</cp:coreProperties>
</file>